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pBdr>
          <w:top w:val="single" w:color="000000" w:sz="4" w:space="0" w:shadow="0" w:frame="0"/>
          <w:left w:val="nil"/>
          <w:bottom w:val="single" w:color="000000" w:sz="4" w:space="0" w:shadow="0" w:frame="0"/>
          <w:right w:val="nil"/>
        </w:pBdr>
        <w:tabs>
          <w:tab w:val="left" w:pos="270"/>
        </w:tabs>
        <w:spacing w:before="0" w:after="160" w:line="240" w:lineRule="auto"/>
        <w:rPr>
          <w:rFonts w:ascii="Calibri" w:cs="Calibri" w:hAnsi="Calibri" w:eastAsia="Calibri"/>
          <w:sz w:val="32"/>
          <w:szCs w:val="32"/>
          <w:u w:color="000000"/>
        </w:rPr>
      </w:pPr>
      <w:r>
        <w:rPr>
          <w:rFonts w:ascii="Calibri" w:hAnsi="Calibri"/>
          <w:sz w:val="22"/>
          <w:szCs w:val="22"/>
          <w:u w:color="000000"/>
          <w:rtl w:val="0"/>
          <w:lang w:val="en-US"/>
        </w:rPr>
        <w:t xml:space="preserve">NAME: </w:t>
      </w:r>
      <w:r>
        <w:rPr>
          <w:rFonts w:ascii="Calibri" w:hAnsi="Calibri"/>
          <w:sz w:val="22"/>
          <w:szCs w:val="22"/>
          <w:u w:color="000000"/>
          <w:rtl w:val="0"/>
          <w:lang w:val="en-US"/>
        </w:rPr>
        <w:t>Hayes, Sania</w:t>
      </w:r>
    </w:p>
    <w:p>
      <w:pPr>
        <w:pStyle w:val="Default"/>
        <w:pBdr>
          <w:top w:val="single" w:color="000000" w:sz="4" w:space="0" w:shadow="0" w:frame="0"/>
          <w:left w:val="nil"/>
          <w:bottom w:val="single" w:color="000000" w:sz="4" w:space="0" w:shadow="0" w:frame="0"/>
          <w:right w:val="nil"/>
        </w:pBdr>
        <w:tabs>
          <w:tab w:val="left" w:pos="270"/>
        </w:tabs>
        <w:spacing w:before="0" w:after="160" w:line="240" w:lineRule="auto"/>
        <w:rPr>
          <w:rFonts w:ascii="Calibri" w:cs="Calibri" w:hAnsi="Calibri" w:eastAsia="Calibri"/>
          <w:sz w:val="22"/>
          <w:szCs w:val="22"/>
          <w:u w:color="000000"/>
        </w:rPr>
      </w:pPr>
      <w:r>
        <w:rPr>
          <w:rFonts w:ascii="Calibri" w:hAnsi="Calibri"/>
          <w:sz w:val="22"/>
          <w:szCs w:val="22"/>
          <w:u w:color="000000"/>
          <w:rtl w:val="0"/>
          <w:lang w:val="en-US"/>
        </w:rPr>
        <w:t>CNIC:  17301-2</w:t>
      </w:r>
      <w:r>
        <w:rPr>
          <w:rFonts w:ascii="Calibri" w:hAnsi="Calibri"/>
          <w:sz w:val="22"/>
          <w:szCs w:val="22"/>
          <w:u w:color="000000"/>
          <w:rtl w:val="0"/>
          <w:lang w:val="en-US"/>
        </w:rPr>
        <w:t>XXX</w:t>
      </w:r>
      <w:r>
        <w:rPr>
          <w:rFonts w:ascii="Calibri" w:hAnsi="Calibri"/>
          <w:sz w:val="22"/>
          <w:szCs w:val="22"/>
          <w:u w:color="000000"/>
          <w:rtl w:val="0"/>
          <w:lang w:val="en-US"/>
        </w:rPr>
        <w:t>392-5</w:t>
      </w:r>
    </w:p>
    <w:p>
      <w:pPr>
        <w:pStyle w:val="Default"/>
        <w:pBdr>
          <w:top w:val="single" w:color="000000" w:sz="4" w:space="0" w:shadow="0" w:frame="0"/>
          <w:left w:val="nil"/>
          <w:bottom w:val="single" w:color="000000" w:sz="4" w:space="0" w:shadow="0" w:frame="0"/>
          <w:right w:val="nil"/>
        </w:pBdr>
        <w:tabs>
          <w:tab w:val="left" w:pos="270"/>
        </w:tabs>
        <w:spacing w:before="0" w:after="160" w:line="240" w:lineRule="auto"/>
        <w:rPr>
          <w:rFonts w:ascii="Calibri" w:cs="Calibri" w:hAnsi="Calibri" w:eastAsia="Calibri"/>
          <w:sz w:val="22"/>
          <w:szCs w:val="22"/>
          <w:u w:color="000000"/>
        </w:rPr>
      </w:pPr>
      <w:r>
        <w:rPr>
          <w:rFonts w:ascii="Calibri" w:hAnsi="Calibri"/>
          <w:sz w:val="22"/>
          <w:szCs w:val="22"/>
          <w:u w:color="000000"/>
          <w:rtl w:val="0"/>
          <w:lang w:val="en-US"/>
        </w:rPr>
        <w:t>ORCID ID: https://orcid.org/0000-3434-4256-0697</w:t>
      </w:r>
    </w:p>
    <w:p>
      <w:pPr>
        <w:pStyle w:val="Default"/>
        <w:pBdr>
          <w:top w:val="single" w:color="000000" w:sz="4" w:space="0" w:shadow="0" w:frame="0"/>
          <w:left w:val="nil"/>
          <w:bottom w:val="single" w:color="000000" w:sz="4" w:space="0" w:shadow="0" w:frame="0"/>
          <w:right w:val="nil"/>
        </w:pBdr>
        <w:tabs>
          <w:tab w:val="left" w:pos="270"/>
        </w:tabs>
        <w:spacing w:before="0" w:after="160" w:line="240" w:lineRule="auto"/>
        <w:rPr>
          <w:rFonts w:ascii="Calibri" w:cs="Calibri" w:hAnsi="Calibri" w:eastAsia="Calibri"/>
          <w:sz w:val="22"/>
          <w:szCs w:val="22"/>
          <w:u w:color="000000"/>
        </w:rPr>
      </w:pPr>
      <w:r>
        <w:rPr>
          <w:rFonts w:ascii="Calibri" w:hAnsi="Calibri"/>
          <w:sz w:val="22"/>
          <w:szCs w:val="22"/>
          <w:u w:color="000000"/>
          <w:rtl w:val="0"/>
          <w:lang w:val="en-US"/>
        </w:rPr>
        <w:t xml:space="preserve">EDUCATION/TRAINING </w:t>
      </w:r>
      <w:r>
        <w:rPr>
          <w:rFonts w:ascii="Calibri" w:hAnsi="Calibri"/>
          <w:i w:val="1"/>
          <w:iCs w:val="1"/>
          <w:sz w:val="22"/>
          <w:szCs w:val="22"/>
          <w:u w:color="000000"/>
          <w:rtl w:val="0"/>
          <w:lang w:val="en-US"/>
        </w:rPr>
        <w:t>(Begin with bachelors or other initial professional education, such as nursing, include postdoctoral training and residency training if applicable. Add/delete rows as necessary.)</w:t>
      </w:r>
    </w:p>
    <w:tbl>
      <w:tblPr>
        <w:tblW w:w="1083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5220"/>
        <w:gridCol w:w="1440"/>
        <w:gridCol w:w="1620"/>
        <w:gridCol w:w="2556"/>
      </w:tblGrid>
      <w:tr>
        <w:tblPrEx>
          <w:shd w:val="clear" w:color="auto" w:fill="00a2ff"/>
        </w:tblPrEx>
        <w:trPr>
          <w:trHeight w:val="1060" w:hRule="atLeast"/>
          <w:tblHeader/>
        </w:trPr>
        <w:tc>
          <w:tcPr>
            <w:tcW w:type="dxa" w:w="5220"/>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tabs>
                <w:tab w:val="left" w:pos="270"/>
              </w:tabs>
              <w:spacing w:before="0" w:line="240" w:lineRule="auto"/>
              <w:jc w:val="center"/>
            </w:pPr>
            <w:r>
              <w:rPr>
                <w:rFonts w:ascii="Calibri" w:hAnsi="Calibri"/>
                <w:sz w:val="22"/>
                <w:szCs w:val="22"/>
                <w:shd w:val="nil" w:color="auto" w:fill="auto"/>
                <w:rtl w:val="0"/>
                <w:lang w:val="en-US"/>
              </w:rPr>
              <w:t>INSTITUTION AND LOCATION</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tabs>
                <w:tab w:val="left" w:pos="270"/>
              </w:tabs>
              <w:spacing w:before="0" w:line="240" w:lineRule="auto"/>
              <w:jc w:val="center"/>
              <w:rPr>
                <w:rFonts w:ascii="Calibri" w:cs="Calibri" w:hAnsi="Calibri" w:eastAsia="Calibri"/>
                <w:sz w:val="22"/>
                <w:szCs w:val="22"/>
                <w:shd w:val="nil" w:color="auto" w:fill="auto"/>
              </w:rPr>
            </w:pPr>
            <w:r>
              <w:rPr>
                <w:rFonts w:ascii="Calibri" w:hAnsi="Calibri"/>
                <w:sz w:val="22"/>
                <w:szCs w:val="22"/>
                <w:shd w:val="nil" w:color="auto" w:fill="auto"/>
                <w:rtl w:val="0"/>
                <w:lang w:val="en-US"/>
              </w:rPr>
              <w:t>DEGREE</w:t>
            </w:r>
          </w:p>
          <w:p>
            <w:pPr>
              <w:pStyle w:val="Default"/>
              <w:tabs>
                <w:tab w:val="left" w:pos="270"/>
              </w:tabs>
              <w:bidi w:val="0"/>
              <w:spacing w:before="0" w:line="240" w:lineRule="auto"/>
              <w:ind w:left="0" w:right="0" w:firstLine="0"/>
              <w:jc w:val="center"/>
              <w:rPr>
                <w:rtl w:val="0"/>
              </w:rPr>
            </w:pPr>
            <w:r>
              <w:rPr>
                <w:rFonts w:ascii="Calibri" w:hAnsi="Calibri"/>
                <w:i w:val="1"/>
                <w:iCs w:val="1"/>
                <w:sz w:val="22"/>
                <w:szCs w:val="22"/>
                <w:shd w:val="nil" w:color="auto" w:fill="auto"/>
                <w:rtl w:val="0"/>
                <w:lang w:val="en-US"/>
              </w:rPr>
              <w:t>(if applicable)</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tabs>
                <w:tab w:val="left" w:pos="270"/>
              </w:tabs>
              <w:spacing w:before="0" w:line="240" w:lineRule="auto"/>
              <w:jc w:val="center"/>
              <w:rPr>
                <w:rFonts w:ascii="Calibri" w:cs="Calibri" w:hAnsi="Calibri" w:eastAsia="Calibri"/>
                <w:sz w:val="22"/>
                <w:szCs w:val="22"/>
                <w:shd w:val="nil" w:color="auto" w:fill="auto"/>
              </w:rPr>
            </w:pPr>
            <w:r>
              <w:rPr>
                <w:rFonts w:ascii="Calibri" w:hAnsi="Calibri"/>
                <w:sz w:val="22"/>
                <w:szCs w:val="22"/>
                <w:shd w:val="nil" w:color="auto" w:fill="auto"/>
                <w:rtl w:val="0"/>
                <w:lang w:val="en-US"/>
              </w:rPr>
              <w:t>Completion Date</w:t>
            </w:r>
          </w:p>
          <w:p>
            <w:pPr>
              <w:pStyle w:val="Default"/>
              <w:tabs>
                <w:tab w:val="left" w:pos="270"/>
              </w:tabs>
              <w:bidi w:val="0"/>
              <w:spacing w:before="0" w:line="240" w:lineRule="auto"/>
              <w:ind w:left="0" w:right="0" w:firstLine="0"/>
              <w:jc w:val="center"/>
              <w:rPr>
                <w:rtl w:val="0"/>
              </w:rPr>
            </w:pPr>
            <w:r>
              <w:rPr>
                <w:rFonts w:ascii="Calibri" w:hAnsi="Calibri"/>
                <w:sz w:val="22"/>
                <w:szCs w:val="22"/>
                <w:shd w:val="nil" w:color="auto" w:fill="auto"/>
                <w:rtl w:val="0"/>
                <w:lang w:val="en-US"/>
              </w:rPr>
              <w:t>MM/YYYY</w:t>
            </w:r>
          </w:p>
        </w:tc>
        <w:tc>
          <w:tcPr>
            <w:tcW w:type="dxa" w:w="2556"/>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Default"/>
              <w:tabs>
                <w:tab w:val="left" w:pos="270"/>
              </w:tabs>
              <w:spacing w:before="0" w:line="240" w:lineRule="auto"/>
              <w:jc w:val="center"/>
            </w:pPr>
            <w:r>
              <w:rPr>
                <w:rFonts w:ascii="Calibri" w:hAnsi="Calibri"/>
                <w:sz w:val="22"/>
                <w:szCs w:val="22"/>
                <w:shd w:val="nil" w:color="auto" w:fill="auto"/>
                <w:rtl w:val="0"/>
                <w:lang w:val="en-US"/>
              </w:rPr>
              <w:t>FIELD OF STUDY</w:t>
            </w:r>
          </w:p>
        </w:tc>
      </w:tr>
      <w:tr>
        <w:tblPrEx>
          <w:shd w:val="clear" w:color="auto" w:fill="cadfff"/>
        </w:tblPrEx>
        <w:trPr>
          <w:trHeight w:val="285" w:hRule="atLeast"/>
        </w:trPr>
        <w:tc>
          <w:tcPr>
            <w:tcW w:type="dxa" w:w="5220"/>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top"/>
          </w:tcPr>
          <w:p>
            <w:pPr>
              <w:pStyle w:val="Default"/>
              <w:tabs>
                <w:tab w:val="left" w:pos="270"/>
              </w:tabs>
              <w:spacing w:before="20" w:after="20" w:line="240" w:lineRule="auto"/>
            </w:pPr>
            <w:r>
              <w:rPr>
                <w:rFonts w:ascii="Calibri" w:hAnsi="Calibri"/>
                <w:sz w:val="22"/>
                <w:szCs w:val="22"/>
                <w:shd w:val="nil" w:color="auto" w:fill="auto"/>
                <w:rtl w:val="0"/>
                <w:lang w:val="en-US"/>
              </w:rPr>
              <w:t>University of California, Berkeley</w:t>
            </w:r>
          </w:p>
        </w:tc>
        <w:tc>
          <w:tcPr>
            <w:tcW w:type="dxa" w:w="1440"/>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Default"/>
              <w:tabs>
                <w:tab w:val="left" w:pos="270"/>
              </w:tabs>
              <w:spacing w:before="20" w:after="20" w:line="240" w:lineRule="auto"/>
              <w:jc w:val="center"/>
            </w:pPr>
            <w:r>
              <w:rPr>
                <w:rFonts w:ascii="Calibri" w:hAnsi="Calibri"/>
                <w:sz w:val="22"/>
                <w:szCs w:val="22"/>
                <w:shd w:val="nil" w:color="auto" w:fill="auto"/>
                <w:rtl w:val="0"/>
                <w:lang w:val="en-US"/>
              </w:rPr>
              <w:t>BS</w:t>
            </w:r>
          </w:p>
        </w:tc>
        <w:tc>
          <w:tcPr>
            <w:tcW w:type="dxa" w:w="1620"/>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Default"/>
              <w:tabs>
                <w:tab w:val="left" w:pos="270"/>
              </w:tabs>
              <w:spacing w:before="20" w:after="20" w:line="240" w:lineRule="auto"/>
              <w:jc w:val="center"/>
            </w:pPr>
            <w:r>
              <w:rPr>
                <w:rFonts w:ascii="Calibri" w:hAnsi="Calibri"/>
                <w:sz w:val="22"/>
                <w:szCs w:val="22"/>
                <w:shd w:val="nil" w:color="auto" w:fill="auto"/>
                <w:rtl w:val="0"/>
                <w:lang w:val="en-US"/>
              </w:rPr>
              <w:t>05/2003</w:t>
            </w:r>
          </w:p>
        </w:tc>
        <w:tc>
          <w:tcPr>
            <w:tcW w:type="dxa" w:w="2556"/>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pPr>
              <w:pStyle w:val="Default"/>
              <w:tabs>
                <w:tab w:val="left" w:pos="270"/>
              </w:tabs>
              <w:spacing w:before="20" w:after="20" w:line="240" w:lineRule="auto"/>
            </w:pPr>
            <w:r>
              <w:rPr>
                <w:rFonts w:ascii="Calibri" w:hAnsi="Calibri"/>
                <w:sz w:val="22"/>
                <w:szCs w:val="22"/>
                <w:shd w:val="nil" w:color="auto" w:fill="auto"/>
                <w:rtl w:val="0"/>
                <w:lang w:val="en-US"/>
              </w:rPr>
              <w:t>Psychology</w:t>
            </w:r>
          </w:p>
        </w:tc>
      </w:tr>
      <w:tr>
        <w:tblPrEx>
          <w:shd w:val="clear" w:color="auto" w:fill="cadfff"/>
        </w:tblPrEx>
        <w:trPr>
          <w:trHeight w:val="280" w:hRule="atLeast"/>
        </w:trPr>
        <w:tc>
          <w:tcPr>
            <w:tcW w:type="dxa" w:w="5220"/>
            <w:tcBorders>
              <w:top w:val="nil"/>
              <w:left w:val="nil"/>
              <w:bottom w:val="nil"/>
              <w:right w:val="single" w:color="000000" w:sz="4" w:space="0" w:shadow="0" w:frame="0"/>
            </w:tcBorders>
            <w:shd w:val="clear" w:color="auto" w:fill="e7eaf4"/>
            <w:tcMar>
              <w:top w:type="dxa" w:w="80"/>
              <w:left w:type="dxa" w:w="80"/>
              <w:bottom w:type="dxa" w:w="80"/>
              <w:right w:type="dxa" w:w="80"/>
            </w:tcMar>
            <w:vAlign w:val="top"/>
          </w:tcPr>
          <w:p>
            <w:pPr>
              <w:pStyle w:val="Default"/>
              <w:tabs>
                <w:tab w:val="left" w:pos="270"/>
              </w:tabs>
              <w:spacing w:before="20" w:after="20" w:line="240" w:lineRule="auto"/>
            </w:pPr>
            <w:r>
              <w:rPr>
                <w:rFonts w:ascii="Calibri" w:hAnsi="Calibri"/>
                <w:sz w:val="22"/>
                <w:szCs w:val="22"/>
                <w:shd w:val="nil" w:color="auto" w:fill="auto"/>
                <w:rtl w:val="0"/>
                <w:lang w:val="en-US"/>
              </w:rPr>
              <w:t>University of Vermont</w:t>
            </w:r>
          </w:p>
        </w:tc>
        <w:tc>
          <w:tcPr>
            <w:tcW w:type="dxa" w:w="1440"/>
            <w:tcBorders>
              <w:top w:val="nil"/>
              <w:left w:val="single" w:color="000000" w:sz="4" w:space="0" w:shadow="0" w:frame="0"/>
              <w:bottom w:val="nil"/>
              <w:right w:val="single" w:color="000000" w:sz="4" w:space="0" w:shadow="0" w:frame="0"/>
            </w:tcBorders>
            <w:shd w:val="clear" w:color="auto" w:fill="e7eaf4"/>
            <w:tcMar>
              <w:top w:type="dxa" w:w="80"/>
              <w:left w:type="dxa" w:w="80"/>
              <w:bottom w:type="dxa" w:w="80"/>
              <w:right w:type="dxa" w:w="80"/>
            </w:tcMar>
            <w:vAlign w:val="top"/>
          </w:tcPr>
          <w:p>
            <w:pPr>
              <w:pStyle w:val="Default"/>
              <w:tabs>
                <w:tab w:val="left" w:pos="270"/>
              </w:tabs>
              <w:spacing w:before="20" w:after="20" w:line="240" w:lineRule="auto"/>
              <w:jc w:val="center"/>
            </w:pPr>
            <w:r>
              <w:rPr>
                <w:rFonts w:ascii="Calibri" w:hAnsi="Calibri"/>
                <w:sz w:val="22"/>
                <w:szCs w:val="22"/>
                <w:shd w:val="nil" w:color="auto" w:fill="auto"/>
                <w:rtl w:val="0"/>
                <w:lang w:val="en-US"/>
              </w:rPr>
              <w:t>PHD</w:t>
            </w:r>
          </w:p>
        </w:tc>
        <w:tc>
          <w:tcPr>
            <w:tcW w:type="dxa" w:w="1620"/>
            <w:tcBorders>
              <w:top w:val="nil"/>
              <w:left w:val="single" w:color="000000" w:sz="4" w:space="0" w:shadow="0" w:frame="0"/>
              <w:bottom w:val="nil"/>
              <w:right w:val="single" w:color="000000" w:sz="4" w:space="0" w:shadow="0" w:frame="0"/>
            </w:tcBorders>
            <w:shd w:val="clear" w:color="auto" w:fill="e7eaf4"/>
            <w:tcMar>
              <w:top w:type="dxa" w:w="80"/>
              <w:left w:type="dxa" w:w="80"/>
              <w:bottom w:type="dxa" w:w="80"/>
              <w:right w:type="dxa" w:w="80"/>
            </w:tcMar>
            <w:vAlign w:val="top"/>
          </w:tcPr>
          <w:p>
            <w:pPr>
              <w:pStyle w:val="Default"/>
              <w:tabs>
                <w:tab w:val="left" w:pos="270"/>
              </w:tabs>
              <w:spacing w:before="20" w:after="20" w:line="240" w:lineRule="auto"/>
              <w:jc w:val="center"/>
            </w:pPr>
            <w:r>
              <w:rPr>
                <w:rFonts w:ascii="Calibri" w:hAnsi="Calibri"/>
                <w:sz w:val="22"/>
                <w:szCs w:val="22"/>
                <w:shd w:val="nil" w:color="auto" w:fill="auto"/>
                <w:rtl w:val="0"/>
                <w:lang w:val="en-US"/>
              </w:rPr>
              <w:t>05/2009</w:t>
            </w:r>
          </w:p>
        </w:tc>
        <w:tc>
          <w:tcPr>
            <w:tcW w:type="dxa" w:w="2556"/>
            <w:tcBorders>
              <w:top w:val="nil"/>
              <w:left w:val="single" w:color="000000" w:sz="4" w:space="0" w:shadow="0" w:frame="0"/>
              <w:bottom w:val="nil"/>
              <w:right w:val="nil"/>
            </w:tcBorders>
            <w:shd w:val="clear" w:color="auto" w:fill="e7eaf4"/>
            <w:tcMar>
              <w:top w:type="dxa" w:w="80"/>
              <w:left w:type="dxa" w:w="80"/>
              <w:bottom w:type="dxa" w:w="80"/>
              <w:right w:type="dxa" w:w="80"/>
            </w:tcMar>
            <w:vAlign w:val="top"/>
          </w:tcPr>
          <w:p>
            <w:pPr>
              <w:pStyle w:val="Default"/>
              <w:tabs>
                <w:tab w:val="left" w:pos="270"/>
              </w:tabs>
              <w:spacing w:before="20" w:after="20" w:line="240" w:lineRule="auto"/>
            </w:pPr>
            <w:r>
              <w:rPr>
                <w:rFonts w:ascii="Calibri" w:hAnsi="Calibri"/>
                <w:sz w:val="22"/>
                <w:szCs w:val="22"/>
                <w:shd w:val="nil" w:color="auto" w:fill="auto"/>
                <w:rtl w:val="0"/>
                <w:lang w:val="en-US"/>
              </w:rPr>
              <w:t>Experimental Psychology</w:t>
            </w:r>
          </w:p>
        </w:tc>
      </w:tr>
      <w:tr>
        <w:tblPrEx>
          <w:shd w:val="clear" w:color="auto" w:fill="cadfff"/>
        </w:tblPrEx>
        <w:trPr>
          <w:trHeight w:val="540" w:hRule="atLeast"/>
        </w:trPr>
        <w:tc>
          <w:tcPr>
            <w:tcW w:type="dxa" w:w="522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Default"/>
              <w:tabs>
                <w:tab w:val="left" w:pos="270"/>
              </w:tabs>
              <w:spacing w:before="20" w:after="20" w:line="240" w:lineRule="auto"/>
            </w:pPr>
            <w:r>
              <w:rPr>
                <w:rFonts w:ascii="Calibri" w:hAnsi="Calibri"/>
                <w:sz w:val="22"/>
                <w:szCs w:val="22"/>
                <w:shd w:val="nil" w:color="auto" w:fill="auto"/>
                <w:rtl w:val="0"/>
                <w:lang w:val="en-US"/>
              </w:rPr>
              <w:t>University of California, Berkeley</w:t>
            </w:r>
          </w:p>
        </w:tc>
        <w:tc>
          <w:tcPr>
            <w:tcW w:type="dxa" w:w="144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Default"/>
              <w:tabs>
                <w:tab w:val="left" w:pos="270"/>
              </w:tabs>
              <w:spacing w:before="20" w:after="20" w:line="240" w:lineRule="auto"/>
              <w:jc w:val="center"/>
            </w:pPr>
            <w:r>
              <w:rPr>
                <w:rFonts w:ascii="Calibri" w:hAnsi="Calibri"/>
                <w:sz w:val="22"/>
                <w:szCs w:val="22"/>
                <w:shd w:val="nil" w:color="auto" w:fill="auto"/>
                <w:rtl w:val="0"/>
                <w:lang w:val="en-US"/>
              </w:rPr>
              <w:t>Postdoctoral</w:t>
            </w:r>
          </w:p>
        </w:tc>
        <w:tc>
          <w:tcPr>
            <w:tcW w:type="dxa" w:w="162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Default"/>
              <w:tabs>
                <w:tab w:val="left" w:pos="270"/>
              </w:tabs>
              <w:spacing w:before="20" w:after="20" w:line="240" w:lineRule="auto"/>
              <w:jc w:val="center"/>
            </w:pPr>
            <w:r>
              <w:rPr>
                <w:rFonts w:ascii="Calibri" w:hAnsi="Calibri"/>
                <w:sz w:val="22"/>
                <w:szCs w:val="22"/>
                <w:shd w:val="nil" w:color="auto" w:fill="auto"/>
                <w:rtl w:val="0"/>
                <w:lang w:val="en-US"/>
              </w:rPr>
              <w:t>08/2013</w:t>
            </w:r>
          </w:p>
        </w:tc>
        <w:tc>
          <w:tcPr>
            <w:tcW w:type="dxa" w:w="255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Default"/>
              <w:tabs>
                <w:tab w:val="left" w:pos="270"/>
              </w:tabs>
              <w:spacing w:before="20" w:after="20" w:line="240" w:lineRule="auto"/>
            </w:pPr>
            <w:r>
              <w:rPr>
                <w:rFonts w:ascii="Calibri" w:hAnsi="Calibri"/>
                <w:sz w:val="22"/>
                <w:szCs w:val="22"/>
                <w:shd w:val="nil" w:color="auto" w:fill="auto"/>
                <w:rtl w:val="0"/>
                <w:lang w:val="en-US"/>
              </w:rPr>
              <w:t>Public Health and Epidemiology</w:t>
            </w:r>
          </w:p>
        </w:tc>
      </w:tr>
    </w:tbl>
    <w:p>
      <w:pPr>
        <w:pStyle w:val="Default"/>
        <w:widowControl w:val="0"/>
        <w:tabs>
          <w:tab w:val="left" w:pos="270"/>
        </w:tabs>
        <w:spacing w:before="0" w:after="160" w:line="240" w:lineRule="auto"/>
        <w:ind w:left="108" w:hanging="108"/>
        <w:rPr>
          <w:rFonts w:ascii="Calibri" w:cs="Calibri" w:hAnsi="Calibri" w:eastAsia="Calibri"/>
          <w:sz w:val="22"/>
          <w:szCs w:val="22"/>
          <w:u w:color="000000"/>
        </w:rPr>
      </w:pPr>
    </w:p>
    <w:p>
      <w:pPr>
        <w:keepNext w:val="0"/>
        <w:keepLines w:val="0"/>
        <w:pageBreakBefore w:val="0"/>
        <w:widowControl w:val="1"/>
        <w:shd w:val="clear" w:color="auto" w:fill="auto"/>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val="0"/>
        <w:bidi w:val="0"/>
        <w:spacing w:before="0" w:after="0" w:line="240" w:lineRule="auto"/>
        <w:ind w:left="0" w:right="0" w:firstLine="0"/>
        <w:jc w:val="left"/>
        <w:outlineLvl w:val="9"/>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A. Personal Statement</w:t>
      </w:r>
    </w:p>
    <w:p>
      <w:pPr>
        <w:keepNext w:val="0"/>
        <w:keepLines w:val="0"/>
        <w:pageBreakBefore w:val="0"/>
        <w:widowControl w:val="1"/>
        <w:shd w:val="clear" w:color="auto" w:fill="auto"/>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val="0"/>
        <w:bidi w:val="0"/>
        <w:spacing w:before="100" w:after="10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My academic training and research experience have provided me with an excellent background in multiple biological disciplines including molecular biology, microbiology, biochemistry, and genetics. As an undergraduate, I conducted research with Dr. Xavier Factor on the mechanisms of action of a new class of antibiotics. As a predoctoral student with Dr. Tanti Auguri, my research focused on the regulation of transcription in yeast, and I gained expertise in the isolation and biochemical characterization of transcription complexes. I developed a novel protocol for the purification of components of large transcription complexes. I was first author of the initial description of the Most Novel Complex. A subsequent first author publication challenged a key paradigm of transcription elongation and was a featured article in a major journal. During my undergraduate and graduate careers, I received several academic and teaching awards. For my postdoctoral training, I will continue to build on my previous training in transcriptional controls by moving into a mammalian system that will allow me to address additional questions regarding the regulation of differentiation and development. My sponsor Dr. I.M. Creative is an internationally recognized leader in the transcription/chromatin field and has an extensive record of training postdoctoral fellows. The proposed research will provide me with new conceptual and technical training in developmental biology and whole genome analysis. In addition, the proposed training plan outlines a set of career development activities and workshops </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e.g. grant writing, public speaking, lab management, and mentoring students </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designed to enhance my ability to become an independent investigator. My choice of sponsor, research project, and training will give me a solid foundation to reach my goal of studying developmental diseases in humans. During my second postdoctoral year in Dr. Creative</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t>
      </w: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s lab, my father had a severe stroke that eventually ended his life. I was out of the lab for six months dealing with my father</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t>
      </w: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s incapacitating illness and end-of-life issues. This hiatus in training reduced my scientific productivity. I am confident this proposed research project and training plan will enhance my scientific portfolio and will help recuperate my scientific productivity. My long-term research goals involve becoming an independent researcher and developing a comprehensive understanding of key developmental pathways and how alterations in gene expression contribute to human disease.</w:t>
      </w:r>
    </w:p>
    <w:p>
      <w:pPr>
        <w:pStyle w:val="Body"/>
        <w:numPr>
          <w:ilvl w:val="1"/>
          <w:numId w:val="2"/>
        </w:numPr>
        <w:bidi w:val="0"/>
        <w:spacing w:before="100" w:after="75"/>
        <w:ind w:right="0"/>
        <w:jc w:val="left"/>
        <w:rPr>
          <w:rFonts w:ascii="Arial" w:hAnsi="Arial"/>
          <w:sz w:val="22"/>
          <w:szCs w:val="22"/>
          <w:rtl w:val="0"/>
          <w:lang w:val="en-US"/>
        </w:rPr>
      </w:pPr>
      <w:r>
        <w:rPr>
          <w:rFonts w:ascii="Arial" w:hAnsi="Arial"/>
          <w:b w:val="1"/>
          <w:bCs w:val="1"/>
          <w:sz w:val="22"/>
          <w:szCs w:val="22"/>
          <w:rtl w:val="0"/>
          <w:lang w:val="en-US"/>
        </w:rPr>
        <w:t>Hayes S</w:t>
      </w:r>
      <w:r>
        <w:rPr>
          <w:rFonts w:ascii="Arial" w:hAnsi="Arial"/>
          <w:sz w:val="22"/>
          <w:szCs w:val="22"/>
          <w:rtl w:val="0"/>
          <w:lang w:val="en-US"/>
        </w:rPr>
        <w:t xml:space="preserve">, Schneider K, Chen M, Auguri T. Rapid isolation and characterization of a novel transcription complex in Saccharomyces cerevisiae and its role in transcription elongation. Journal of Cell Biology. 2016; 128:770. </w:t>
      </w:r>
    </w:p>
    <w:p>
      <w:pPr>
        <w:pStyle w:val="Body"/>
        <w:numPr>
          <w:ilvl w:val="1"/>
          <w:numId w:val="2"/>
        </w:numPr>
        <w:bidi w:val="0"/>
        <w:spacing w:before="100" w:after="75"/>
        <w:ind w:right="0"/>
        <w:jc w:val="left"/>
        <w:rPr>
          <w:rFonts w:ascii="Arial" w:hAnsi="Arial"/>
          <w:sz w:val="22"/>
          <w:szCs w:val="22"/>
          <w:rtl w:val="0"/>
          <w:lang w:val="en-US"/>
        </w:rPr>
      </w:pPr>
      <w:r>
        <w:rPr>
          <w:rFonts w:ascii="Arial" w:hAnsi="Arial"/>
          <w:b w:val="1"/>
          <w:bCs w:val="1"/>
          <w:sz w:val="22"/>
          <w:szCs w:val="22"/>
          <w:rtl w:val="0"/>
          <w:lang w:val="en-US"/>
        </w:rPr>
        <w:t>Hayes S</w:t>
      </w:r>
      <w:r>
        <w:rPr>
          <w:rFonts w:ascii="Arial" w:hAnsi="Arial"/>
          <w:sz w:val="22"/>
          <w:szCs w:val="22"/>
          <w:rtl w:val="0"/>
          <w:lang w:val="en-US"/>
        </w:rPr>
        <w:t>, Auguri T. A tandem affinity purification tag approach allows for isolation of interacting proteins in Saccharomyces cerevisiae. Proceedings of the National Academy of Sciences of the United States of America. 2019; 98:151.</w:t>
      </w:r>
    </w:p>
    <w:p>
      <w:pPr>
        <w:pStyle w:val="Body"/>
        <w:numPr>
          <w:ilvl w:val="1"/>
          <w:numId w:val="2"/>
        </w:numPr>
        <w:bidi w:val="0"/>
        <w:spacing w:before="100" w:after="75"/>
        <w:ind w:right="0"/>
        <w:jc w:val="left"/>
        <w:rPr>
          <w:rFonts w:ascii="Arial" w:hAnsi="Arial"/>
          <w:sz w:val="22"/>
          <w:szCs w:val="22"/>
          <w:rtl w:val="0"/>
          <w:lang w:val="en-US"/>
        </w:rPr>
      </w:pPr>
      <w:r>
        <w:rPr>
          <w:rFonts w:ascii="Arial" w:hAnsi="Arial"/>
          <w:sz w:val="22"/>
          <w:szCs w:val="22"/>
          <w:rtl w:val="0"/>
          <w:lang w:val="en-US"/>
        </w:rPr>
        <w:t xml:space="preserve">Yao M, Dionne CF, </w:t>
      </w:r>
      <w:r>
        <w:rPr>
          <w:rFonts w:ascii="Arial" w:hAnsi="Arial"/>
          <w:b w:val="1"/>
          <w:bCs w:val="1"/>
          <w:sz w:val="22"/>
          <w:szCs w:val="22"/>
          <w:rtl w:val="0"/>
          <w:lang w:val="en-US"/>
        </w:rPr>
        <w:t>Hayes S</w:t>
      </w:r>
      <w:r>
        <w:rPr>
          <w:rFonts w:ascii="Arial" w:hAnsi="Arial"/>
          <w:sz w:val="22"/>
          <w:szCs w:val="22"/>
          <w:rtl w:val="0"/>
          <w:lang w:val="en-US"/>
        </w:rPr>
        <w:t>, Murray GC. Up-regulation of Drosophila innate immunity genes in response to stress. Science (New York, N.Y.). 2020; 304:1754.</w:t>
      </w:r>
    </w:p>
    <w:p>
      <w:pPr>
        <w:pStyle w:val="Body"/>
        <w:numPr>
          <w:ilvl w:val="1"/>
          <w:numId w:val="2"/>
        </w:numPr>
        <w:bidi w:val="0"/>
        <w:spacing w:before="100" w:after="75"/>
        <w:ind w:right="0"/>
        <w:jc w:val="left"/>
        <w:rPr>
          <w:rFonts w:ascii="Arial" w:hAnsi="Arial"/>
          <w:sz w:val="22"/>
          <w:szCs w:val="22"/>
          <w:rtl w:val="0"/>
          <w:lang w:val="en-US"/>
        </w:rPr>
      </w:pPr>
      <w:r>
        <w:rPr>
          <w:rFonts w:ascii="Arial" w:hAnsi="Arial"/>
          <w:b w:val="1"/>
          <w:bCs w:val="1"/>
          <w:sz w:val="22"/>
          <w:szCs w:val="22"/>
          <w:rtl w:val="0"/>
          <w:lang w:val="en-US"/>
        </w:rPr>
        <w:t>Hayes S</w:t>
      </w:r>
      <w:r>
        <w:rPr>
          <w:rFonts w:ascii="Arial" w:hAnsi="Arial"/>
          <w:sz w:val="22"/>
          <w:szCs w:val="22"/>
          <w:rtl w:val="0"/>
          <w:lang w:val="en-US"/>
        </w:rPr>
        <w:t>, Cescaloo Q, Murray GC. Structural analysis of Drosophila Rtc. Nature. Forthcoming 2021.</w:t>
      </w:r>
    </w:p>
    <w:p>
      <w:pPr>
        <w:keepNext w:val="0"/>
        <w:keepLines w:val="0"/>
        <w:pageBreakBefore w:val="0"/>
        <w:widowControl w:val="1"/>
        <w:shd w:val="clear" w:color="auto" w:fill="auto"/>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val="0"/>
        <w:bidi w:val="0"/>
        <w:spacing w:before="0" w:after="0" w:line="240" w:lineRule="auto"/>
        <w:ind w:left="0" w:right="0" w:firstLine="0"/>
        <w:jc w:val="left"/>
        <w:outlineLvl w:val="9"/>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val="0"/>
        <w:bidi w:val="0"/>
        <w:spacing w:before="0" w:after="0" w:line="240" w:lineRule="auto"/>
        <w:ind w:left="0" w:right="0" w:firstLine="0"/>
        <w:jc w:val="left"/>
        <w:outlineLvl w:val="9"/>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B. Positions, Scientific Appointments, and Honors</w:t>
      </w:r>
    </w:p>
    <w:p>
      <w:pPr>
        <w:keepNext w:val="0"/>
        <w:keepLines w:val="0"/>
        <w:pageBreakBefore w:val="0"/>
        <w:widowControl w:val="1"/>
        <w:shd w:val="clear" w:color="auto" w:fill="auto"/>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val="0"/>
        <w:bidi w:val="0"/>
        <w:spacing w:before="0" w:after="0" w:line="240" w:lineRule="auto"/>
        <w:ind w:left="0" w:right="0" w:firstLine="0"/>
        <w:jc w:val="left"/>
        <w:outlineLvl w:val="9"/>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val="0"/>
        <w:bidi w:val="0"/>
        <w:spacing w:before="0" w:after="0" w:line="240" w:lineRule="auto"/>
        <w:ind w:left="0" w:right="0" w:firstLine="0"/>
        <w:jc w:val="left"/>
        <w:outlineLvl w:val="9"/>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Positions and Scientific Appointments</w:t>
      </w:r>
    </w:p>
    <w:p>
      <w:pPr>
        <w:keepNext w:val="0"/>
        <w:keepLines w:val="0"/>
        <w:pageBreakBefore w:val="0"/>
        <w:widowControl w:val="1"/>
        <w:shd w:val="clear" w:color="auto" w:fill="auto"/>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2019 </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Present </w:t>
        <w:tab/>
        <w:t>Postdoctoral Researcher, Michigan State University</w:t>
      </w:r>
    </w:p>
    <w:p>
      <w:pPr>
        <w:keepNext w:val="0"/>
        <w:keepLines w:val="0"/>
        <w:pageBreakBefore w:val="0"/>
        <w:widowControl w:val="1"/>
        <w:shd w:val="clear" w:color="auto" w:fill="auto"/>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2015 </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2018</w:t>
        <w:tab/>
        <w:tab/>
        <w:t>Predoctoral Fellowship for Minorities, Ford Foundation</w:t>
      </w:r>
    </w:p>
    <w:p>
      <w:pPr>
        <w:keepNext w:val="0"/>
        <w:keepLines w:val="0"/>
        <w:pageBreakBefore w:val="0"/>
        <w:widowControl w:val="1"/>
        <w:shd w:val="clear" w:color="auto" w:fill="auto"/>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2013 </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2019</w:t>
        <w:tab/>
        <w:tab/>
        <w:t xml:space="preserve">Graduate Research Assistant, Georgetown University </w:t>
      </w:r>
    </w:p>
    <w:p>
      <w:pPr>
        <w:keepNext w:val="0"/>
        <w:keepLines w:val="0"/>
        <w:pageBreakBefore w:val="0"/>
        <w:widowControl w:val="1"/>
        <w:shd w:val="clear" w:color="auto" w:fill="auto"/>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2012 </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Present</w:t>
        <w:tab/>
        <w:t>Member, National Society for Bioinformatics and Biotechnology</w:t>
      </w:r>
    </w:p>
    <w:p>
      <w:pPr>
        <w:keepNext w:val="0"/>
        <w:keepLines w:val="0"/>
        <w:pageBreakBefore w:val="0"/>
        <w:widowControl w:val="1"/>
        <w:shd w:val="clear" w:color="auto" w:fill="auto"/>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2010 </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Present</w:t>
        <w:tab/>
        <w:t>Member, Association for Women in Science</w:t>
      </w:r>
    </w:p>
    <w:p>
      <w:pPr>
        <w:keepNext w:val="0"/>
        <w:keepLines w:val="0"/>
        <w:pageBreakBefore w:val="0"/>
        <w:widowControl w:val="1"/>
        <w:shd w:val="clear" w:color="auto" w:fill="auto"/>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2010 </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2012</w:t>
        <w:tab/>
        <w:tab/>
        <w:t>Engineer, The IBeam Group Program</w:t>
      </w:r>
    </w:p>
    <w:p>
      <w:pPr>
        <w:keepNext w:val="0"/>
        <w:keepLines w:val="0"/>
        <w:pageBreakBefore w:val="0"/>
        <w:widowControl w:val="1"/>
        <w:shd w:val="clear" w:color="auto" w:fill="auto"/>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2009 </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Present</w:t>
        <w:tab/>
        <w:t>Member, Sigma Xi</w:t>
      </w:r>
    </w:p>
    <w:p>
      <w:pPr>
        <w:keepNext w:val="0"/>
        <w:keepLines w:val="0"/>
        <w:pageBreakBefore w:val="0"/>
        <w:widowControl w:val="1"/>
        <w:shd w:val="clear" w:color="auto" w:fill="auto"/>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p>
    <w:tbl>
      <w:tblPr>
        <w:tblW w:w="149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499"/>
      </w:tblGrid>
      <w:tr>
        <w:tblPrEx>
          <w:shd w:val="clear" w:color="auto" w:fill="d0ddef"/>
        </w:tblPrEx>
        <w:trPr>
          <w:trHeight w:val="233" w:hRule="atLeast"/>
        </w:trPr>
        <w:tc>
          <w:tcPr>
            <w:tcW w:type="dxa" w:w="1499"/>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360"/>
                <w:tab w:val="left" w:pos="720"/>
                <w:tab w:val="left" w:pos="1080"/>
                <w:tab w:val="left" w:pos="1440"/>
              </w:tabs>
            </w:pPr>
            <w:r>
              <w:rPr>
                <w:rFonts w:ascii="Arial" w:hAnsi="Arial"/>
                <w:b w:val="1"/>
                <w:bCs w:val="1"/>
                <w:sz w:val="22"/>
                <w:szCs w:val="22"/>
                <w:shd w:val="nil" w:color="auto" w:fill="auto"/>
                <w:rtl w:val="0"/>
                <w:lang w:val="en-US"/>
              </w:rPr>
              <w:t>Honors</w:t>
            </w:r>
          </w:p>
        </w:tc>
      </w:tr>
    </w:tbl>
    <w:p>
      <w:pPr>
        <w:keepNext w:val="0"/>
        <w:keepLines w:val="0"/>
        <w:pageBreakBefore w:val="0"/>
        <w:widowControl w:val="0"/>
        <w:shd w:val="clear" w:color="auto" w:fill="auto"/>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val="0"/>
        <w:bidi w:val="0"/>
        <w:spacing w:before="0" w:after="0" w:line="240" w:lineRule="auto"/>
        <w:ind w:left="1800" w:right="0" w:hanging="1800"/>
        <w:jc w:val="left"/>
        <w:outlineLvl w:val="9"/>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2013</w:t>
        <w:tab/>
        <w:t>B.S. awarded with high honors, Wake Forest University</w:t>
      </w:r>
    </w:p>
    <w:p>
      <w:pPr>
        <w:keepNext w:val="0"/>
        <w:keepLines w:val="0"/>
        <w:pageBreakBefore w:val="0"/>
        <w:widowControl w:val="1"/>
        <w:shd w:val="clear" w:color="auto" w:fill="auto"/>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val="0"/>
        <w:bidi w:val="0"/>
        <w:spacing w:before="0" w:after="0" w:line="240" w:lineRule="auto"/>
        <w:ind w:left="1800" w:right="0" w:hanging="1800"/>
        <w:jc w:val="left"/>
        <w:outlineLvl w:val="9"/>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2013</w:t>
        <w:tab/>
        <w:t xml:space="preserve">Paula F. Laufenberg Award for best senior project in the Department of Engineering, Wake Forest University </w:t>
      </w:r>
    </w:p>
    <w:p>
      <w:pPr>
        <w:keepNext w:val="0"/>
        <w:keepLines w:val="0"/>
        <w:pageBreakBefore w:val="0"/>
        <w:widowControl w:val="1"/>
        <w:shd w:val="clear" w:color="auto" w:fill="auto"/>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val="0"/>
        <w:bidi w:val="0"/>
        <w:spacing w:before="0" w:after="0" w:line="240" w:lineRule="auto"/>
        <w:ind w:left="1800" w:right="0" w:hanging="1800"/>
        <w:jc w:val="left"/>
        <w:outlineLvl w:val="9"/>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2013</w:t>
        <w:tab/>
        <w:t>STAR award for public service in engineering, The IBeam Group</w:t>
      </w:r>
    </w:p>
    <w:p>
      <w:pPr>
        <w:keepNext w:val="0"/>
        <w:keepLines w:val="0"/>
        <w:pageBreakBefore w:val="0"/>
        <w:widowControl w:val="1"/>
        <w:shd w:val="clear" w:color="auto" w:fill="auto"/>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val="0"/>
        <w:bidi w:val="0"/>
        <w:spacing w:before="0" w:after="0" w:line="240" w:lineRule="auto"/>
        <w:ind w:left="0" w:right="0" w:firstLine="0"/>
        <w:jc w:val="left"/>
        <w:outlineLvl w:val="9"/>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2010 </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2011</w:t>
        <w:tab/>
        <w:tab/>
        <w:t>Scholarship, National Merit Scholarship Pr</w:t>
      </w:r>
      <w:r>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br w:type="textWrapping"/>
      </w: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2009 </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2011</w:t>
        <w:tab/>
        <w:tab/>
        <w:t>Scholarship, Daughters of Hawaii Society</w:t>
      </w:r>
      <w: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p>
    <w:p>
      <w:pPr>
        <w:keepNext w:val="0"/>
        <w:keepLines w:val="0"/>
        <w:pageBreakBefore w:val="0"/>
        <w:widowControl w:val="1"/>
        <w:shd w:val="clear" w:color="auto" w:fill="auto"/>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val="0"/>
        <w:bidi w:val="0"/>
        <w:spacing w:before="0" w:after="0" w:line="240" w:lineRule="auto"/>
        <w:ind w:left="0" w:right="0" w:firstLine="0"/>
        <w:jc w:val="left"/>
        <w:outlineLvl w:val="9"/>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val="0"/>
        <w:bidi w:val="0"/>
        <w:spacing w:before="0" w:after="0" w:line="240" w:lineRule="auto"/>
        <w:ind w:left="0" w:right="0" w:firstLine="0"/>
        <w:jc w:val="left"/>
        <w:outlineLvl w:val="9"/>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C. Contributions to Science</w:t>
      </w:r>
    </w:p>
    <w:p>
      <w:pPr>
        <w:keepNext w:val="0"/>
        <w:keepLines w:val="0"/>
        <w:pageBreakBefore w:val="0"/>
        <w:widowControl w:val="1"/>
        <w:numPr>
          <w:ilvl w:val="0"/>
          <w:numId w:val="4"/>
        </w:numPr>
        <w:shd w:val="clear" w:color="auto" w:fill="auto"/>
        <w:suppressAutoHyphens w:val="0"/>
        <w:bidi w:val="0"/>
        <w:spacing w:before="100" w:after="100" w:line="240" w:lineRule="auto"/>
        <w:ind w:right="0"/>
        <w:jc w:val="left"/>
        <w:outlineLvl w:val="9"/>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Early Career:</w:t>
      </w: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My early career contributions were focused on applying my knowledge of structural engineering to improving the design and integrity of tensile structures. More specifically, I worked with a team of engineers at the IBeam Group to develop concrete with a higher tensile strength that could be utilized in large structures such as suspension bridges. My particular role in the project was to identify candidate polymers, determine the ultimate tensile strength of these polymers, and make recommendations as to which polymer would afford concrete the most structural integrity under various stresses.</w:t>
      </w:r>
    </w:p>
    <w:p>
      <w:pPr>
        <w:pStyle w:val="Body"/>
        <w:numPr>
          <w:ilvl w:val="1"/>
          <w:numId w:val="4"/>
        </w:numPr>
        <w:bidi w:val="0"/>
        <w:spacing w:before="100" w:after="75"/>
        <w:ind w:right="0"/>
        <w:jc w:val="left"/>
        <w:rPr>
          <w:rFonts w:ascii="Arial" w:hAnsi="Arial"/>
          <w:sz w:val="22"/>
          <w:szCs w:val="22"/>
          <w:rtl w:val="0"/>
          <w:lang w:val="en-US"/>
        </w:rPr>
      </w:pPr>
      <w:r>
        <w:rPr>
          <w:rFonts w:ascii="Arial" w:hAnsi="Arial"/>
          <w:b w:val="1"/>
          <w:bCs w:val="1"/>
          <w:sz w:val="22"/>
          <w:szCs w:val="22"/>
          <w:rtl w:val="0"/>
          <w:lang w:val="en-US"/>
        </w:rPr>
        <w:t>Hayes S</w:t>
      </w:r>
      <w:r>
        <w:rPr>
          <w:rFonts w:ascii="Arial" w:hAnsi="Arial"/>
          <w:sz w:val="22"/>
          <w:szCs w:val="22"/>
          <w:rtl w:val="0"/>
          <w:lang w:val="en-US"/>
        </w:rPr>
        <w:t xml:space="preserve">, Janessa AJ. Redesigning the Golden Gate bridge. National Undergraduate Symposium on Science and Engineering; 2011; Baltimore, MD. </w:t>
      </w:r>
    </w:p>
    <w:p>
      <w:pPr>
        <w:pStyle w:val="Body"/>
        <w:numPr>
          <w:ilvl w:val="1"/>
          <w:numId w:val="4"/>
        </w:numPr>
        <w:bidi w:val="0"/>
        <w:spacing w:before="100" w:after="75"/>
        <w:ind w:right="0"/>
        <w:jc w:val="left"/>
        <w:rPr>
          <w:rFonts w:ascii="Arial" w:hAnsi="Arial"/>
          <w:sz w:val="22"/>
          <w:szCs w:val="22"/>
          <w:rtl w:val="0"/>
          <w:lang w:val="en-US"/>
        </w:rPr>
      </w:pPr>
      <w:r>
        <w:rPr>
          <w:rFonts w:ascii="Arial" w:hAnsi="Arial"/>
          <w:sz w:val="22"/>
          <w:szCs w:val="22"/>
          <w:rtl w:val="0"/>
          <w:lang w:val="en-US"/>
        </w:rPr>
        <w:t xml:space="preserve">Lorentson C, </w:t>
      </w:r>
      <w:r>
        <w:rPr>
          <w:rFonts w:ascii="Arial" w:hAnsi="Arial"/>
          <w:b w:val="1"/>
          <w:bCs w:val="1"/>
          <w:sz w:val="22"/>
          <w:szCs w:val="22"/>
          <w:rtl w:val="0"/>
          <w:lang w:val="en-US"/>
        </w:rPr>
        <w:t>Hayes S</w:t>
      </w:r>
      <w:r>
        <w:rPr>
          <w:rFonts w:ascii="Arial" w:hAnsi="Arial"/>
          <w:sz w:val="22"/>
          <w:szCs w:val="22"/>
          <w:rtl w:val="0"/>
          <w:lang w:val="en-US"/>
        </w:rPr>
        <w:t>, Sauer N, Mehta S. Use of high-tensile concrete in cantilevered structures. J Applied Engineering. 2012; 63:413.</w:t>
      </w:r>
    </w:p>
    <w:p>
      <w:pPr>
        <w:keepNext w:val="0"/>
        <w:keepLines w:val="0"/>
        <w:pageBreakBefore w:val="0"/>
        <w:widowControl w:val="1"/>
        <w:numPr>
          <w:ilvl w:val="0"/>
          <w:numId w:val="4"/>
        </w:numPr>
        <w:shd w:val="clear" w:color="auto" w:fill="auto"/>
        <w:suppressAutoHyphens w:val="0"/>
        <w:bidi w:val="0"/>
        <w:spacing w:before="100" w:after="100" w:line="240" w:lineRule="auto"/>
        <w:ind w:right="0"/>
        <w:jc w:val="left"/>
        <w:outlineLvl w:val="9"/>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Graduate Career:</w:t>
      </w: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My graduate research contributions focused on transcriptional gene regulation in Saccharomyces cerevisiae. Results from my research were highly relevant as they provided new details into the workings of complex biological systems and allowed for further extrapolations into the development of certain diseases and their progression. I originally developed a novel protocol for the purification of components of large protein complexes. A subsequent publication, in which I isolated and characterized a long sought-after transcription complex, challenged a key paradigm of transcription elongation and was a featured article in a major journal.</w:t>
      </w:r>
    </w:p>
    <w:p>
      <w:pPr>
        <w:pStyle w:val="Body"/>
        <w:numPr>
          <w:ilvl w:val="1"/>
          <w:numId w:val="4"/>
        </w:numPr>
        <w:bidi w:val="0"/>
        <w:spacing w:before="100" w:after="75"/>
        <w:ind w:right="0"/>
        <w:jc w:val="left"/>
        <w:rPr>
          <w:rFonts w:ascii="Arial" w:hAnsi="Arial"/>
          <w:sz w:val="22"/>
          <w:szCs w:val="22"/>
          <w:rtl w:val="0"/>
          <w:lang w:val="en-US"/>
        </w:rPr>
      </w:pPr>
      <w:r>
        <w:rPr>
          <w:rFonts w:ascii="Arial" w:hAnsi="Arial"/>
          <w:b w:val="1"/>
          <w:bCs w:val="1"/>
          <w:sz w:val="22"/>
          <w:szCs w:val="22"/>
          <w:rtl w:val="0"/>
          <w:lang w:val="en-US"/>
        </w:rPr>
        <w:t>Hayes S</w:t>
      </w:r>
      <w:r>
        <w:rPr>
          <w:rFonts w:ascii="Arial" w:hAnsi="Arial"/>
          <w:sz w:val="22"/>
          <w:szCs w:val="22"/>
          <w:rtl w:val="0"/>
          <w:lang w:val="en-US"/>
        </w:rPr>
        <w:t>, Schneider K, Chen M, Auguri T. Rapid isolation and characterization of the most novel transcription complex in Saccharomyces cerevisiae and its role in transcription elongation. CSHL Meeting on Mechanisms of Eukaryotic Transcription; 2015</w:t>
      </w:r>
      <w:r>
        <w:rPr>
          <w:rFonts w:ascii="Arial" w:hAnsi="Arial" w:hint="default"/>
          <w:sz w:val="22"/>
          <w:szCs w:val="22"/>
          <w:rtl w:val="0"/>
          <w:lang w:val="en-US"/>
        </w:rPr>
        <w:t> </w:t>
      </w:r>
      <w:r>
        <w:rPr>
          <w:rFonts w:ascii="Arial" w:hAnsi="Arial"/>
          <w:sz w:val="22"/>
          <w:szCs w:val="22"/>
          <w:rtl w:val="0"/>
          <w:lang w:val="en-US"/>
        </w:rPr>
        <w:t xml:space="preserve">August; Cold Spring Harbor, NY. </w:t>
      </w:r>
    </w:p>
    <w:p>
      <w:pPr>
        <w:pStyle w:val="Body"/>
        <w:numPr>
          <w:ilvl w:val="1"/>
          <w:numId w:val="4"/>
        </w:numPr>
        <w:bidi w:val="0"/>
        <w:spacing w:before="100" w:after="75"/>
        <w:ind w:right="0"/>
        <w:jc w:val="left"/>
        <w:rPr>
          <w:rFonts w:ascii="Arial" w:hAnsi="Arial"/>
          <w:sz w:val="22"/>
          <w:szCs w:val="22"/>
          <w:rtl w:val="0"/>
          <w:lang w:val="en-US"/>
        </w:rPr>
      </w:pPr>
      <w:r>
        <w:rPr>
          <w:rFonts w:ascii="Arial" w:hAnsi="Arial"/>
          <w:b w:val="1"/>
          <w:bCs w:val="1"/>
          <w:sz w:val="22"/>
          <w:szCs w:val="22"/>
          <w:rtl w:val="0"/>
          <w:lang w:val="en-US"/>
        </w:rPr>
        <w:t>Hayes S</w:t>
      </w:r>
      <w:r>
        <w:rPr>
          <w:rFonts w:ascii="Arial" w:hAnsi="Arial"/>
          <w:sz w:val="22"/>
          <w:szCs w:val="22"/>
          <w:rtl w:val="0"/>
          <w:lang w:val="en-US"/>
        </w:rPr>
        <w:t xml:space="preserve">, Schneider K, Chen M, Auguri T. Rapid isolation and characterization of a novel transcription complex in Saccharomyces cerevisiae and its role in transcription elongation. Journal of Cell Biology. 2016; 128:770. </w:t>
      </w:r>
    </w:p>
    <w:p>
      <w:pPr>
        <w:pStyle w:val="Body"/>
        <w:numPr>
          <w:ilvl w:val="1"/>
          <w:numId w:val="4"/>
        </w:numPr>
        <w:bidi w:val="0"/>
        <w:spacing w:before="100" w:after="75"/>
        <w:ind w:right="0"/>
        <w:jc w:val="left"/>
        <w:rPr>
          <w:rFonts w:ascii="Arial" w:hAnsi="Arial"/>
          <w:sz w:val="22"/>
          <w:szCs w:val="22"/>
          <w:rtl w:val="0"/>
          <w:lang w:val="en-US"/>
        </w:rPr>
      </w:pPr>
      <w:r>
        <w:rPr>
          <w:rFonts w:ascii="Arial" w:hAnsi="Arial"/>
          <w:b w:val="1"/>
          <w:bCs w:val="1"/>
          <w:sz w:val="22"/>
          <w:szCs w:val="22"/>
          <w:rtl w:val="0"/>
          <w:lang w:val="en-US"/>
        </w:rPr>
        <w:t>Hayes S</w:t>
      </w:r>
      <w:r>
        <w:rPr>
          <w:rFonts w:ascii="Arial" w:hAnsi="Arial"/>
          <w:sz w:val="22"/>
          <w:szCs w:val="22"/>
          <w:rtl w:val="0"/>
          <w:lang w:val="en-US"/>
        </w:rPr>
        <w:t>, Auguri T. A tandem affinity purification tag approach allows for isolation of interacting proteins in Saccharomyces cerevisiae. Proceedings of the National Academy of Sciences of the United States of America. 2019; 98:151.</w:t>
      </w:r>
    </w:p>
    <w:p>
      <w:pPr>
        <w:keepNext w:val="0"/>
        <w:keepLines w:val="0"/>
        <w:pageBreakBefore w:val="0"/>
        <w:widowControl w:val="1"/>
        <w:numPr>
          <w:ilvl w:val="0"/>
          <w:numId w:val="4"/>
        </w:numPr>
        <w:shd w:val="clear" w:color="auto" w:fill="auto"/>
        <w:suppressAutoHyphens w:val="0"/>
        <w:bidi w:val="0"/>
        <w:spacing w:before="100" w:after="100" w:line="240" w:lineRule="auto"/>
        <w:ind w:right="0"/>
        <w:jc w:val="left"/>
        <w:outlineLvl w:val="9"/>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Postdoctoral Career:</w:t>
      </w: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As a postdoctoral fellow, my research has provided a compelling link between mutations arising in stress response proteins and the development of various autoimmune diseases in humans. Previous studies have shown dysregulation in the innate immune response lead to autoimmune diseases in humans. A few Rtc homologues have now been identified in humans and appear to play a role in the regulation of genes in the innate immune response. My research is focused on the transcriptional regulator Rtc from Drosophila melanogaster.</w:t>
      </w:r>
    </w:p>
    <w:p>
      <w:pPr>
        <w:pStyle w:val="Body"/>
        <w:numPr>
          <w:ilvl w:val="1"/>
          <w:numId w:val="4"/>
        </w:numPr>
        <w:bidi w:val="0"/>
        <w:spacing w:before="100" w:after="75"/>
        <w:ind w:right="0"/>
        <w:jc w:val="left"/>
        <w:rPr>
          <w:rFonts w:ascii="Arial" w:hAnsi="Arial"/>
          <w:sz w:val="22"/>
          <w:szCs w:val="22"/>
          <w:rtl w:val="0"/>
          <w:lang w:val="en-US"/>
        </w:rPr>
      </w:pPr>
      <w:r>
        <w:rPr>
          <w:rFonts w:ascii="Arial" w:hAnsi="Arial"/>
          <w:b w:val="1"/>
          <w:bCs w:val="1"/>
          <w:sz w:val="22"/>
          <w:szCs w:val="22"/>
          <w:rtl w:val="0"/>
          <w:lang w:val="en-US"/>
        </w:rPr>
        <w:t>Hayes S</w:t>
      </w:r>
      <w:r>
        <w:rPr>
          <w:rFonts w:ascii="Arial" w:hAnsi="Arial"/>
          <w:sz w:val="22"/>
          <w:szCs w:val="22"/>
          <w:rtl w:val="0"/>
          <w:lang w:val="en-US"/>
        </w:rPr>
        <w:t>, Yager LN, Murray GC. Rtc is an essential component of the Drosophila innate immune response. Genetics. 2019; 145:884.</w:t>
      </w:r>
    </w:p>
    <w:p>
      <w:pPr>
        <w:pStyle w:val="Body"/>
        <w:numPr>
          <w:ilvl w:val="1"/>
          <w:numId w:val="4"/>
        </w:numPr>
        <w:bidi w:val="0"/>
        <w:spacing w:before="100" w:after="75"/>
        <w:ind w:right="0"/>
        <w:jc w:val="left"/>
        <w:rPr>
          <w:rFonts w:ascii="Arial" w:hAnsi="Arial"/>
          <w:sz w:val="22"/>
          <w:szCs w:val="22"/>
          <w:rtl w:val="0"/>
          <w:lang w:val="en-US"/>
        </w:rPr>
      </w:pPr>
      <w:r>
        <w:rPr>
          <w:rFonts w:ascii="Arial" w:hAnsi="Arial"/>
          <w:sz w:val="22"/>
          <w:szCs w:val="22"/>
          <w:rtl w:val="0"/>
          <w:lang w:val="en-US"/>
        </w:rPr>
        <w:t xml:space="preserve">Yao M, Dionne CF, </w:t>
      </w:r>
      <w:r>
        <w:rPr>
          <w:rFonts w:ascii="Arial" w:hAnsi="Arial"/>
          <w:b w:val="1"/>
          <w:bCs w:val="1"/>
          <w:sz w:val="22"/>
          <w:szCs w:val="22"/>
          <w:rtl w:val="0"/>
          <w:lang w:val="en-US"/>
        </w:rPr>
        <w:t>Hayes S</w:t>
      </w:r>
      <w:r>
        <w:rPr>
          <w:rFonts w:ascii="Arial" w:hAnsi="Arial"/>
          <w:sz w:val="22"/>
          <w:szCs w:val="22"/>
          <w:rtl w:val="0"/>
          <w:lang w:val="en-US"/>
        </w:rPr>
        <w:t>, Murray GC. Up-regulation of Drosophila innate immunity genes in response to stress. Science. 2020; 304:1754.</w:t>
      </w:r>
    </w:p>
    <w:p>
      <w:pPr>
        <w:pStyle w:val="Body"/>
        <w:numPr>
          <w:ilvl w:val="1"/>
          <w:numId w:val="4"/>
        </w:numPr>
        <w:bidi w:val="0"/>
        <w:spacing w:before="100" w:after="75"/>
        <w:ind w:right="0"/>
        <w:jc w:val="left"/>
        <w:rPr>
          <w:rFonts w:ascii="Arial" w:hAnsi="Arial"/>
          <w:sz w:val="22"/>
          <w:szCs w:val="22"/>
          <w:rtl w:val="0"/>
          <w:lang w:val="en-US"/>
        </w:rPr>
      </w:pPr>
      <w:r>
        <w:rPr>
          <w:rFonts w:ascii="Arial" w:hAnsi="Arial"/>
          <w:b w:val="1"/>
          <w:bCs w:val="1"/>
          <w:sz w:val="22"/>
          <w:szCs w:val="22"/>
          <w:rtl w:val="0"/>
          <w:lang w:val="en-US"/>
        </w:rPr>
        <w:t>Hayes S</w:t>
      </w:r>
      <w:r>
        <w:rPr>
          <w:rFonts w:ascii="Arial" w:hAnsi="Arial"/>
          <w:sz w:val="22"/>
          <w:szCs w:val="22"/>
          <w:rtl w:val="0"/>
          <w:lang w:val="en-US"/>
        </w:rPr>
        <w:t>, Murray GC. Stress, flies, and videotape: the Drosophila stress response. Annual review of physiology. 2020; 346:223.</w:t>
      </w:r>
    </w:p>
    <w:p>
      <w:pPr>
        <w:pStyle w:val="Body"/>
        <w:numPr>
          <w:ilvl w:val="1"/>
          <w:numId w:val="4"/>
        </w:numPr>
        <w:bidi w:val="0"/>
        <w:spacing w:before="100" w:after="75"/>
        <w:ind w:right="0"/>
        <w:jc w:val="left"/>
        <w:rPr>
          <w:rFonts w:ascii="Arial" w:hAnsi="Arial"/>
          <w:sz w:val="22"/>
          <w:szCs w:val="22"/>
          <w:rtl w:val="0"/>
          <w:lang w:val="en-US"/>
        </w:rPr>
      </w:pPr>
      <w:r>
        <w:rPr>
          <w:rFonts w:ascii="Arial" w:hAnsi="Arial"/>
          <w:b w:val="1"/>
          <w:bCs w:val="1"/>
          <w:sz w:val="22"/>
          <w:szCs w:val="22"/>
          <w:rtl w:val="0"/>
          <w:lang w:val="en-US"/>
        </w:rPr>
        <w:t>Hayes S</w:t>
      </w:r>
      <w:r>
        <w:rPr>
          <w:rFonts w:ascii="Arial" w:hAnsi="Arial"/>
          <w:sz w:val="22"/>
          <w:szCs w:val="22"/>
          <w:rtl w:val="0"/>
          <w:lang w:val="en-US"/>
        </w:rPr>
        <w:t>, Cescaloo Q, Murray GC. Structural analysis of Drosophila Rtc. Nature. Forthcoming 2021.</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cs="Arial" w:hAnsi="Arial" w:eastAsia="Arial"/>
          <w:sz w:val="22"/>
          <w:szCs w:val="22"/>
        </w:rPr>
      </w:pPr>
      <w:r>
        <w:rPr>
          <w:rFonts w:ascii="Arial" w:hAnsi="Arial"/>
          <w:sz w:val="22"/>
          <w:szCs w:val="22"/>
          <w:u w:val="single"/>
          <w:rtl w:val="0"/>
          <w:lang w:val="en-US"/>
        </w:rPr>
        <w:t>Complete List of Published Work in My Bibliography:</w:t>
      </w:r>
      <w:r>
        <w:rPr>
          <w:rFonts w:ascii="Arial" w:cs="Arial" w:hAnsi="Arial" w:eastAsia="Arial"/>
          <w:sz w:val="22"/>
          <w:szCs w:val="22"/>
          <w:lang w:val="en-US"/>
        </w:rPr>
        <w:br w:type="textWrapping"/>
      </w:r>
      <w:r>
        <w:rPr>
          <w:rStyle w:val="Hyperlink.0"/>
          <w:rFonts w:ascii="Arial" w:cs="Arial" w:hAnsi="Arial" w:eastAsia="Arial"/>
          <w:sz w:val="22"/>
          <w:szCs w:val="22"/>
        </w:rPr>
        <w:fldChar w:fldCharType="begin" w:fldLock="0"/>
      </w:r>
      <w:r>
        <w:rPr>
          <w:rStyle w:val="Hyperlink.0"/>
          <w:rFonts w:ascii="Arial" w:cs="Arial" w:hAnsi="Arial" w:eastAsia="Arial"/>
          <w:sz w:val="22"/>
          <w:szCs w:val="22"/>
        </w:rPr>
        <w:instrText xml:space="preserve"> HYPERLINK "https://www.ncbi.nlm.nih.gov/myncbi/1VgYzYESn3Nke9/bibliography/public/"</w:instrText>
      </w:r>
      <w:r>
        <w:rPr>
          <w:rStyle w:val="Hyperlink.0"/>
          <w:rFonts w:ascii="Arial" w:cs="Arial" w:hAnsi="Arial" w:eastAsia="Arial"/>
          <w:sz w:val="22"/>
          <w:szCs w:val="22"/>
        </w:rPr>
        <w:fldChar w:fldCharType="separate" w:fldLock="0"/>
      </w:r>
      <w:r>
        <w:rPr>
          <w:rStyle w:val="Hyperlink.0"/>
          <w:rFonts w:ascii="Arial" w:hAnsi="Arial"/>
          <w:sz w:val="22"/>
          <w:szCs w:val="22"/>
          <w:rtl w:val="0"/>
          <w:lang w:val="en-US"/>
        </w:rPr>
        <w:t>https://www.ncbi.nlm.nih.gov/myncbi/1VgYzYESn3Nke9/bibliography/public/</w:t>
      </w:r>
      <w:r>
        <w:rPr>
          <w:rFonts w:ascii="Arial" w:cs="Arial" w:hAnsi="Arial" w:eastAsia="Arial"/>
          <w:sz w:val="22"/>
          <w:szCs w:val="22"/>
        </w:rPr>
        <w:fldChar w:fldCharType="end" w:fldLock="0"/>
      </w:r>
    </w:p>
    <w:p>
      <w:pPr>
        <w:keepNext w:val="0"/>
        <w:keepLines w:val="0"/>
        <w:pageBreakBefore w:val="0"/>
        <w:widowControl w:val="1"/>
        <w:shd w:val="clear" w:color="auto" w:fill="auto"/>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val="0"/>
        <w:bidi w:val="0"/>
        <w:spacing w:before="0" w:after="0" w:line="240" w:lineRule="auto"/>
        <w:ind w:left="0" w:right="0" w:firstLine="0"/>
        <w:jc w:val="left"/>
        <w:outlineLvl w:val="9"/>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br w:type="textWrapping"/>
        <w:br w:type="textWrapping"/>
      </w:r>
      <w: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D. Scholastic Performance</w:t>
      </w:r>
      <w:r>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br w:type="textWrapping"/>
      </w:r>
    </w:p>
    <w:p>
      <w:pPr>
        <w:keepNext w:val="0"/>
        <w:keepLines w:val="0"/>
        <w:pageBreakBefore w:val="0"/>
        <w:widowControl w:val="1"/>
        <w:shd w:val="clear" w:color="auto" w:fill="auto"/>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val="0"/>
        <w:bidi w:val="0"/>
        <w:spacing w:before="0" w:after="0" w:line="240" w:lineRule="auto"/>
        <w:ind w:left="0" w:right="0" w:firstLine="0"/>
        <w:jc w:val="left"/>
        <w:outlineLvl w:val="9"/>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p>
    <w:tbl>
      <w:tblPr>
        <w:tblW w:w="1079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500"/>
        <w:gridCol w:w="7792"/>
        <w:gridCol w:w="1500"/>
      </w:tblGrid>
      <w:tr>
        <w:tblPrEx>
          <w:shd w:val="clear" w:color="auto" w:fill="5b9bd5"/>
        </w:tblPrEx>
        <w:trPr>
          <w:trHeight w:val="250" w:hRule="atLeast"/>
          <w:tblHeader/>
        </w:trPr>
        <w:tc>
          <w:tcPr>
            <w:tcW w:type="dxa" w:w="1500"/>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YEAR</w:t>
            </w:r>
          </w:p>
        </w:tc>
        <w:tc>
          <w:tcPr>
            <w:tcW w:type="dxa" w:w="7792"/>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rFonts w:ascii="Arial" w:hAnsi="Arial"/>
                <w:sz w:val="22"/>
                <w:szCs w:val="22"/>
                <w:shd w:val="nil" w:color="auto" w:fill="auto"/>
                <w:rtl w:val="0"/>
                <w:lang w:val="en-US"/>
              </w:rPr>
              <w:t>COURSE TITLE</w:t>
            </w:r>
          </w:p>
        </w:tc>
        <w:tc>
          <w:tcPr>
            <w:tcW w:type="dxa" w:w="1500"/>
            <w:tcBorders>
              <w:top w:val="single" w:color="000000" w:sz="6" w:space="0" w:shadow="0" w:frame="0"/>
              <w:left w:val="single" w:color="000000" w:sz="6" w:space="0" w:shadow="0" w:frame="0"/>
              <w:bottom w:val="nil"/>
              <w:right w:val="nil"/>
            </w:tcBorders>
            <w:shd w:val="clear" w:color="auto" w:fill="auto"/>
            <w:tcMar>
              <w:top w:type="dxa" w:w="80"/>
              <w:left w:type="dxa" w:w="80"/>
              <w:bottom w:type="dxa" w:w="80"/>
              <w:right w:type="dxa" w:w="80"/>
            </w:tcMar>
            <w:vAlign w:val="top"/>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GRADE</w:t>
            </w:r>
          </w:p>
        </w:tc>
      </w:tr>
      <w:tr>
        <w:tblPrEx>
          <w:shd w:val="clear" w:color="auto" w:fill="d0ddef"/>
        </w:tblPrEx>
        <w:trPr>
          <w:trHeight w:val="253" w:hRule="atLeast"/>
        </w:trPr>
        <w:tc>
          <w:tcPr>
            <w:tcW w:type="dxa" w:w="1500"/>
            <w:tcBorders>
              <w:top w:val="nil"/>
              <w:left w:val="nil"/>
              <w:bottom w:val="nil"/>
              <w:right w:val="nil"/>
            </w:tcBorders>
            <w:shd w:val="clear" w:color="auto" w:fill="auto"/>
            <w:tcMar>
              <w:top w:type="dxa" w:w="80"/>
              <w:left w:type="dxa" w:w="80"/>
              <w:bottom w:type="dxa" w:w="80"/>
              <w:right w:type="dxa" w:w="80"/>
            </w:tcMar>
            <w:vAlign w:val="center"/>
          </w:tcPr>
          <w:p/>
        </w:tc>
        <w:tc>
          <w:tcPr>
            <w:tcW w:type="dxa" w:w="7792"/>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rFonts w:ascii="Arial" w:hAnsi="Arial"/>
                <w:caps w:val="1"/>
                <w:sz w:val="22"/>
                <w:szCs w:val="22"/>
                <w:shd w:val="nil" w:color="auto" w:fill="auto"/>
                <w:rtl w:val="0"/>
                <w:lang w:val="en-US"/>
              </w:rPr>
              <w:t xml:space="preserve">UC Berkeley </w:t>
            </w:r>
          </w:p>
        </w:tc>
        <w:tc>
          <w:tcPr>
            <w:tcW w:type="dxa" w:w="1500"/>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d0ddef"/>
        </w:tblPrEx>
        <w:trPr>
          <w:trHeight w:val="253" w:hRule="atLeast"/>
        </w:trPr>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2014</w:t>
            </w:r>
          </w:p>
        </w:tc>
        <w:tc>
          <w:tcPr>
            <w:tcW w:type="dxa" w:w="7792"/>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shd w:val="nil" w:color="auto" w:fill="auto"/>
                <w:rtl w:val="0"/>
                <w:lang w:val="en-US"/>
              </w:rPr>
              <w:t>Introductory Biology</w:t>
            </w:r>
          </w:p>
        </w:tc>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A</w:t>
            </w:r>
          </w:p>
        </w:tc>
      </w:tr>
      <w:tr>
        <w:tblPrEx>
          <w:shd w:val="clear" w:color="auto" w:fill="d0ddef"/>
        </w:tblPrEx>
        <w:trPr>
          <w:trHeight w:val="253" w:hRule="atLeast"/>
        </w:trPr>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2014</w:t>
            </w:r>
          </w:p>
        </w:tc>
        <w:tc>
          <w:tcPr>
            <w:tcW w:type="dxa" w:w="7792"/>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shd w:val="nil" w:color="auto" w:fill="auto"/>
                <w:rtl w:val="0"/>
                <w:lang w:val="en-US"/>
              </w:rPr>
              <w:t>Introductory Biology Lab</w:t>
            </w:r>
          </w:p>
        </w:tc>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A</w:t>
            </w:r>
          </w:p>
        </w:tc>
      </w:tr>
      <w:tr>
        <w:tblPrEx>
          <w:shd w:val="clear" w:color="auto" w:fill="d0ddef"/>
        </w:tblPrEx>
        <w:trPr>
          <w:trHeight w:val="253" w:hRule="atLeast"/>
        </w:trPr>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2014</w:t>
            </w:r>
          </w:p>
        </w:tc>
        <w:tc>
          <w:tcPr>
            <w:tcW w:type="dxa" w:w="7792"/>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shd w:val="nil" w:color="auto" w:fill="auto"/>
                <w:rtl w:val="0"/>
                <w:lang w:val="en-US"/>
              </w:rPr>
              <w:t>Foundations of Chemical Principles</w:t>
            </w:r>
          </w:p>
        </w:tc>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A</w:t>
            </w:r>
          </w:p>
        </w:tc>
      </w:tr>
      <w:tr>
        <w:tblPrEx>
          <w:shd w:val="clear" w:color="auto" w:fill="d0ddef"/>
        </w:tblPrEx>
        <w:trPr>
          <w:trHeight w:val="253" w:hRule="atLeast"/>
        </w:trPr>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2014</w:t>
            </w:r>
          </w:p>
        </w:tc>
        <w:tc>
          <w:tcPr>
            <w:tcW w:type="dxa" w:w="7792"/>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shd w:val="nil" w:color="auto" w:fill="auto"/>
                <w:rtl w:val="0"/>
                <w:lang w:val="en-US"/>
              </w:rPr>
              <w:t xml:space="preserve">French and Francophone World </w:t>
            </w:r>
          </w:p>
        </w:tc>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A</w:t>
            </w:r>
          </w:p>
        </w:tc>
      </w:tr>
      <w:tr>
        <w:tblPrEx>
          <w:shd w:val="clear" w:color="auto" w:fill="d0ddef"/>
        </w:tblPrEx>
        <w:trPr>
          <w:trHeight w:val="253" w:hRule="atLeast"/>
        </w:trPr>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2014</w:t>
            </w:r>
          </w:p>
        </w:tc>
        <w:tc>
          <w:tcPr>
            <w:tcW w:type="dxa" w:w="7792"/>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shd w:val="nil" w:color="auto" w:fill="auto"/>
                <w:rtl w:val="0"/>
                <w:lang w:val="en-US"/>
              </w:rPr>
              <w:t>Ethics, Religion, and Culture Today</w:t>
            </w:r>
          </w:p>
        </w:tc>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A</w:t>
            </w:r>
          </w:p>
        </w:tc>
      </w:tr>
      <w:tr>
        <w:tblPrEx>
          <w:shd w:val="clear" w:color="auto" w:fill="d0ddef"/>
        </w:tblPrEx>
        <w:trPr>
          <w:trHeight w:val="253" w:hRule="atLeast"/>
        </w:trPr>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2015</w:t>
            </w:r>
          </w:p>
        </w:tc>
        <w:tc>
          <w:tcPr>
            <w:tcW w:type="dxa" w:w="7792"/>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shd w:val="nil" w:color="auto" w:fill="auto"/>
                <w:rtl w:val="0"/>
                <w:lang w:val="en-US"/>
              </w:rPr>
              <w:t>Organismal and Population Biology</w:t>
            </w:r>
          </w:p>
        </w:tc>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B</w:t>
            </w:r>
          </w:p>
        </w:tc>
      </w:tr>
      <w:tr>
        <w:tblPrEx>
          <w:shd w:val="clear" w:color="auto" w:fill="d0ddef"/>
        </w:tblPrEx>
        <w:trPr>
          <w:trHeight w:val="253" w:hRule="atLeast"/>
        </w:trPr>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2015</w:t>
            </w:r>
          </w:p>
        </w:tc>
        <w:tc>
          <w:tcPr>
            <w:tcW w:type="dxa" w:w="7792"/>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shd w:val="nil" w:color="auto" w:fill="auto"/>
                <w:rtl w:val="0"/>
                <w:lang w:val="en-US"/>
              </w:rPr>
              <w:t>Omics</w:t>
            </w:r>
          </w:p>
        </w:tc>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B</w:t>
            </w:r>
          </w:p>
        </w:tc>
      </w:tr>
      <w:tr>
        <w:tblPrEx>
          <w:shd w:val="clear" w:color="auto" w:fill="d0ddef"/>
        </w:tblPrEx>
        <w:trPr>
          <w:trHeight w:val="253" w:hRule="atLeast"/>
        </w:trPr>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2015</w:t>
            </w:r>
          </w:p>
        </w:tc>
        <w:tc>
          <w:tcPr>
            <w:tcW w:type="dxa" w:w="7792"/>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shd w:val="nil" w:color="auto" w:fill="auto"/>
                <w:rtl w:val="0"/>
                <w:lang w:val="en-US"/>
              </w:rPr>
              <w:t>First Year Seminar: Nation and Migration</w:t>
            </w:r>
          </w:p>
        </w:tc>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A</w:t>
            </w:r>
          </w:p>
        </w:tc>
      </w:tr>
      <w:tr>
        <w:tblPrEx>
          <w:shd w:val="clear" w:color="auto" w:fill="d0ddef"/>
        </w:tblPrEx>
        <w:trPr>
          <w:trHeight w:val="253" w:hRule="atLeast"/>
        </w:trPr>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2015</w:t>
            </w:r>
          </w:p>
        </w:tc>
        <w:tc>
          <w:tcPr>
            <w:tcW w:type="dxa" w:w="7792"/>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shd w:val="nil" w:color="auto" w:fill="auto"/>
                <w:rtl w:val="0"/>
                <w:lang w:val="en-US"/>
              </w:rPr>
              <w:t>Statistics, Probability, and Reliability</w:t>
            </w:r>
          </w:p>
        </w:tc>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A</w:t>
            </w:r>
          </w:p>
        </w:tc>
      </w:tr>
      <w:tr>
        <w:tblPrEx>
          <w:shd w:val="clear" w:color="auto" w:fill="d0ddef"/>
        </w:tblPrEx>
        <w:trPr>
          <w:trHeight w:val="253" w:hRule="atLeast"/>
        </w:trPr>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2015</w:t>
            </w:r>
          </w:p>
        </w:tc>
        <w:tc>
          <w:tcPr>
            <w:tcW w:type="dxa" w:w="7792"/>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shd w:val="nil" w:color="auto" w:fill="auto"/>
                <w:rtl w:val="0"/>
                <w:lang w:val="en-US"/>
              </w:rPr>
              <w:t>Calculus I</w:t>
            </w:r>
          </w:p>
        </w:tc>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B</w:t>
            </w:r>
          </w:p>
        </w:tc>
      </w:tr>
      <w:tr>
        <w:tblPrEx>
          <w:shd w:val="clear" w:color="auto" w:fill="d0ddef"/>
        </w:tblPrEx>
        <w:trPr>
          <w:trHeight w:val="253" w:hRule="atLeast"/>
        </w:trPr>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2015</w:t>
            </w:r>
          </w:p>
        </w:tc>
        <w:tc>
          <w:tcPr>
            <w:tcW w:type="dxa" w:w="7792"/>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shd w:val="nil" w:color="auto" w:fill="auto"/>
                <w:rtl w:val="0"/>
                <w:lang w:val="en-US"/>
              </w:rPr>
              <w:t>General Physics I</w:t>
            </w:r>
          </w:p>
        </w:tc>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B</w:t>
            </w:r>
          </w:p>
        </w:tc>
      </w:tr>
      <w:tr>
        <w:tblPrEx>
          <w:shd w:val="clear" w:color="auto" w:fill="d0ddef"/>
        </w:tblPrEx>
        <w:trPr>
          <w:trHeight w:val="253" w:hRule="atLeast"/>
        </w:trPr>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2015</w:t>
            </w:r>
          </w:p>
        </w:tc>
        <w:tc>
          <w:tcPr>
            <w:tcW w:type="dxa" w:w="7792"/>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shd w:val="nil" w:color="auto" w:fill="auto"/>
                <w:rtl w:val="0"/>
                <w:lang w:val="en-US"/>
              </w:rPr>
              <w:t>Introductory Chemistry</w:t>
            </w:r>
          </w:p>
        </w:tc>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A</w:t>
            </w:r>
          </w:p>
        </w:tc>
      </w:tr>
      <w:tr>
        <w:tblPrEx>
          <w:shd w:val="clear" w:color="auto" w:fill="d0ddef"/>
        </w:tblPrEx>
        <w:trPr>
          <w:trHeight w:val="253" w:hRule="atLeast"/>
        </w:trPr>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2015</w:t>
            </w:r>
          </w:p>
        </w:tc>
        <w:tc>
          <w:tcPr>
            <w:tcW w:type="dxa" w:w="7792"/>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shd w:val="nil" w:color="auto" w:fill="auto"/>
                <w:rtl w:val="0"/>
                <w:lang w:val="en-US"/>
              </w:rPr>
              <w:t>Population &amp; Ecol Genetics</w:t>
            </w:r>
          </w:p>
        </w:tc>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A</w:t>
            </w:r>
          </w:p>
        </w:tc>
      </w:tr>
      <w:tr>
        <w:tblPrEx>
          <w:shd w:val="clear" w:color="auto" w:fill="d0ddef"/>
        </w:tblPrEx>
        <w:trPr>
          <w:trHeight w:val="253" w:hRule="atLeast"/>
        </w:trPr>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2015</w:t>
            </w:r>
          </w:p>
        </w:tc>
        <w:tc>
          <w:tcPr>
            <w:tcW w:type="dxa" w:w="7792"/>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shd w:val="nil" w:color="auto" w:fill="auto"/>
                <w:rtl w:val="0"/>
                <w:lang w:val="en-US"/>
              </w:rPr>
              <w:t>Organic Chemistry</w:t>
            </w:r>
          </w:p>
        </w:tc>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B</w:t>
            </w:r>
          </w:p>
        </w:tc>
      </w:tr>
      <w:tr>
        <w:tblPrEx>
          <w:shd w:val="clear" w:color="auto" w:fill="d0ddef"/>
        </w:tblPrEx>
        <w:trPr>
          <w:trHeight w:val="253" w:hRule="atLeast"/>
        </w:trPr>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2016</w:t>
            </w:r>
          </w:p>
        </w:tc>
        <w:tc>
          <w:tcPr>
            <w:tcW w:type="dxa" w:w="7792"/>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shd w:val="nil" w:color="auto" w:fill="auto"/>
                <w:rtl w:val="0"/>
                <w:lang w:val="en-US"/>
              </w:rPr>
              <w:t>American Literature</w:t>
            </w:r>
          </w:p>
        </w:tc>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B</w:t>
            </w:r>
          </w:p>
        </w:tc>
      </w:tr>
      <w:tr>
        <w:tblPrEx>
          <w:shd w:val="clear" w:color="auto" w:fill="d0ddef"/>
        </w:tblPrEx>
        <w:trPr>
          <w:trHeight w:val="253" w:hRule="atLeast"/>
        </w:trPr>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2016</w:t>
            </w:r>
          </w:p>
        </w:tc>
        <w:tc>
          <w:tcPr>
            <w:tcW w:type="dxa" w:w="7792"/>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shd w:val="nil" w:color="auto" w:fill="auto"/>
                <w:rtl w:val="0"/>
                <w:lang w:val="en-US"/>
              </w:rPr>
              <w:t>General Physics II</w:t>
            </w:r>
          </w:p>
        </w:tc>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B</w:t>
            </w:r>
          </w:p>
        </w:tc>
      </w:tr>
      <w:tr>
        <w:tblPrEx>
          <w:shd w:val="clear" w:color="auto" w:fill="d0ddef"/>
        </w:tblPrEx>
        <w:trPr>
          <w:trHeight w:val="253" w:hRule="atLeast"/>
        </w:trPr>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2016</w:t>
            </w:r>
          </w:p>
        </w:tc>
        <w:tc>
          <w:tcPr>
            <w:tcW w:type="dxa" w:w="7792"/>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shd w:val="nil" w:color="auto" w:fill="auto"/>
                <w:rtl w:val="0"/>
                <w:lang w:val="en-US"/>
              </w:rPr>
              <w:t>Organic Chemistry II</w:t>
            </w:r>
          </w:p>
        </w:tc>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B</w:t>
            </w:r>
          </w:p>
        </w:tc>
      </w:tr>
      <w:tr>
        <w:tblPrEx>
          <w:shd w:val="clear" w:color="auto" w:fill="d0ddef"/>
        </w:tblPrEx>
        <w:trPr>
          <w:trHeight w:val="253" w:hRule="atLeast"/>
        </w:trPr>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2016</w:t>
            </w:r>
          </w:p>
        </w:tc>
        <w:tc>
          <w:tcPr>
            <w:tcW w:type="dxa" w:w="7792"/>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shd w:val="nil" w:color="auto" w:fill="auto"/>
                <w:rtl w:val="0"/>
                <w:lang w:val="en-US"/>
              </w:rPr>
              <w:t>Microbial Pathogenesis and the Immune Response</w:t>
            </w:r>
          </w:p>
        </w:tc>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A</w:t>
            </w:r>
          </w:p>
        </w:tc>
      </w:tr>
      <w:tr>
        <w:tblPrEx>
          <w:shd w:val="clear" w:color="auto" w:fill="d0ddef"/>
        </w:tblPrEx>
        <w:trPr>
          <w:trHeight w:val="253" w:hRule="atLeast"/>
        </w:trPr>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2016</w:t>
            </w:r>
          </w:p>
        </w:tc>
        <w:tc>
          <w:tcPr>
            <w:tcW w:type="dxa" w:w="7792"/>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shd w:val="nil" w:color="auto" w:fill="auto"/>
                <w:rtl w:val="0"/>
                <w:lang w:val="en-US"/>
              </w:rPr>
              <w:t>Introduction to Cognitive Science</w:t>
            </w:r>
          </w:p>
        </w:tc>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A</w:t>
            </w:r>
          </w:p>
        </w:tc>
      </w:tr>
      <w:tr>
        <w:tblPrEx>
          <w:shd w:val="clear" w:color="auto" w:fill="d0ddef"/>
        </w:tblPrEx>
        <w:trPr>
          <w:trHeight w:val="253" w:hRule="atLeast"/>
        </w:trPr>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2016</w:t>
            </w:r>
          </w:p>
        </w:tc>
        <w:tc>
          <w:tcPr>
            <w:tcW w:type="dxa" w:w="7792"/>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shd w:val="nil" w:color="auto" w:fill="auto"/>
                <w:rtl w:val="0"/>
                <w:lang w:val="en-US"/>
              </w:rPr>
              <w:t>Self Defense</w:t>
            </w:r>
          </w:p>
        </w:tc>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P</w:t>
            </w:r>
          </w:p>
        </w:tc>
      </w:tr>
      <w:tr>
        <w:tblPrEx>
          <w:shd w:val="clear" w:color="auto" w:fill="d0ddef"/>
        </w:tblPrEx>
        <w:trPr>
          <w:trHeight w:val="253" w:hRule="atLeast"/>
        </w:trPr>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2016</w:t>
            </w:r>
          </w:p>
        </w:tc>
        <w:tc>
          <w:tcPr>
            <w:tcW w:type="dxa" w:w="7792"/>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shd w:val="nil" w:color="auto" w:fill="auto"/>
                <w:rtl w:val="0"/>
                <w:lang w:val="en-US"/>
              </w:rPr>
              <w:t>Biological Chemistry</w:t>
            </w:r>
          </w:p>
        </w:tc>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B</w:t>
            </w:r>
          </w:p>
        </w:tc>
      </w:tr>
      <w:tr>
        <w:tblPrEx>
          <w:shd w:val="clear" w:color="auto" w:fill="d0ddef"/>
        </w:tblPrEx>
        <w:trPr>
          <w:trHeight w:val="253" w:hRule="atLeast"/>
        </w:trPr>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2017</w:t>
            </w:r>
          </w:p>
        </w:tc>
        <w:tc>
          <w:tcPr>
            <w:tcW w:type="dxa" w:w="7792"/>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shd w:val="nil" w:color="auto" w:fill="auto"/>
                <w:rtl w:val="0"/>
                <w:lang w:val="en-US"/>
              </w:rPr>
              <w:t>Anthropology of Childhood and the Family</w:t>
            </w:r>
          </w:p>
        </w:tc>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A</w:t>
            </w:r>
          </w:p>
        </w:tc>
      </w:tr>
      <w:tr>
        <w:tblPrEx>
          <w:shd w:val="clear" w:color="auto" w:fill="d0ddef"/>
        </w:tblPrEx>
        <w:trPr>
          <w:trHeight w:val="253" w:hRule="atLeast"/>
        </w:trPr>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2017</w:t>
            </w:r>
          </w:p>
        </w:tc>
        <w:tc>
          <w:tcPr>
            <w:tcW w:type="dxa" w:w="7792"/>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shd w:val="nil" w:color="auto" w:fill="auto"/>
                <w:rtl w:val="0"/>
                <w:lang w:val="en-US"/>
              </w:rPr>
              <w:t>Disease, Culture, and Society in the Modern World</w:t>
            </w:r>
          </w:p>
        </w:tc>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A</w:t>
            </w:r>
          </w:p>
        </w:tc>
      </w:tr>
      <w:tr>
        <w:tblPrEx>
          <w:shd w:val="clear" w:color="auto" w:fill="d0ddef"/>
        </w:tblPrEx>
        <w:trPr>
          <w:trHeight w:val="253" w:hRule="atLeast"/>
        </w:trPr>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2017</w:t>
            </w:r>
          </w:p>
        </w:tc>
        <w:tc>
          <w:tcPr>
            <w:tcW w:type="dxa" w:w="7792"/>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shd w:val="nil" w:color="auto" w:fill="auto"/>
                <w:rtl w:val="0"/>
                <w:lang w:val="en-US"/>
              </w:rPr>
              <w:t>Intro to Psychology</w:t>
            </w:r>
          </w:p>
        </w:tc>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A</w:t>
            </w:r>
          </w:p>
        </w:tc>
      </w:tr>
      <w:tr>
        <w:tblPrEx>
          <w:shd w:val="clear" w:color="auto" w:fill="d0ddef"/>
        </w:tblPrEx>
        <w:trPr>
          <w:trHeight w:val="253" w:hRule="atLeast"/>
        </w:trPr>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2017</w:t>
            </w:r>
          </w:p>
        </w:tc>
        <w:tc>
          <w:tcPr>
            <w:tcW w:type="dxa" w:w="7792"/>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shd w:val="nil" w:color="auto" w:fill="auto"/>
                <w:rtl w:val="0"/>
                <w:lang w:val="en-US"/>
              </w:rPr>
              <w:t>Health &amp; Fitness Walking</w:t>
            </w:r>
          </w:p>
        </w:tc>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P</w:t>
            </w:r>
          </w:p>
        </w:tc>
      </w:tr>
      <w:tr>
        <w:tblPrEx>
          <w:shd w:val="clear" w:color="auto" w:fill="d0ddef"/>
        </w:tblPrEx>
        <w:trPr>
          <w:trHeight w:val="253" w:hRule="atLeast"/>
        </w:trPr>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2017</w:t>
            </w:r>
          </w:p>
        </w:tc>
        <w:tc>
          <w:tcPr>
            <w:tcW w:type="dxa" w:w="7792"/>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shd w:val="nil" w:color="auto" w:fill="auto"/>
                <w:rtl w:val="0"/>
                <w:lang w:val="en-US"/>
              </w:rPr>
              <w:t>State &amp; Local Govt</w:t>
            </w:r>
          </w:p>
        </w:tc>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A</w:t>
            </w:r>
          </w:p>
        </w:tc>
      </w:tr>
      <w:tr>
        <w:tblPrEx>
          <w:shd w:val="clear" w:color="auto" w:fill="d0ddef"/>
        </w:tblPrEx>
        <w:trPr>
          <w:trHeight w:val="253" w:hRule="atLeast"/>
        </w:trPr>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2017</w:t>
            </w:r>
          </w:p>
        </w:tc>
        <w:tc>
          <w:tcPr>
            <w:tcW w:type="dxa" w:w="7792"/>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shd w:val="nil" w:color="auto" w:fill="auto"/>
                <w:rtl w:val="0"/>
                <w:lang w:val="en-US"/>
              </w:rPr>
              <w:t>Human Genetic20</w:t>
            </w:r>
          </w:p>
        </w:tc>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A</w:t>
            </w:r>
          </w:p>
        </w:tc>
      </w:tr>
      <w:tr>
        <w:tblPrEx>
          <w:shd w:val="clear" w:color="auto" w:fill="d0ddef"/>
        </w:tblPrEx>
        <w:trPr>
          <w:trHeight w:val="253" w:hRule="atLeast"/>
        </w:trPr>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2017</w:t>
            </w:r>
          </w:p>
        </w:tc>
        <w:tc>
          <w:tcPr>
            <w:tcW w:type="dxa" w:w="7792"/>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shd w:val="nil" w:color="auto" w:fill="auto"/>
                <w:rtl w:val="0"/>
                <w:lang w:val="en-US"/>
              </w:rPr>
              <w:t>Senior Project</w:t>
            </w:r>
          </w:p>
        </w:tc>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A</w:t>
            </w:r>
          </w:p>
        </w:tc>
      </w:tr>
      <w:tr>
        <w:tblPrEx>
          <w:shd w:val="clear" w:color="auto" w:fill="d0ddef"/>
        </w:tblPrEx>
        <w:trPr>
          <w:trHeight w:val="253" w:hRule="atLeast"/>
        </w:trPr>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2017</w:t>
            </w:r>
          </w:p>
        </w:tc>
        <w:tc>
          <w:tcPr>
            <w:tcW w:type="dxa" w:w="7792"/>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shd w:val="nil" w:color="auto" w:fill="auto"/>
                <w:rtl w:val="0"/>
                <w:lang w:val="en-US"/>
              </w:rPr>
              <w:t>Bioinformatics</w:t>
            </w:r>
          </w:p>
        </w:tc>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B</w:t>
            </w:r>
          </w:p>
        </w:tc>
      </w:tr>
      <w:tr>
        <w:tblPrEx>
          <w:shd w:val="clear" w:color="auto" w:fill="d0ddef"/>
        </w:tblPrEx>
        <w:trPr>
          <w:trHeight w:val="253" w:hRule="atLeast"/>
        </w:trPr>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2018</w:t>
            </w:r>
          </w:p>
        </w:tc>
        <w:tc>
          <w:tcPr>
            <w:tcW w:type="dxa" w:w="7792"/>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shd w:val="nil" w:color="auto" w:fill="auto"/>
                <w:rtl w:val="0"/>
                <w:lang w:val="en-US"/>
              </w:rPr>
              <w:t>Cell Biology</w:t>
            </w:r>
          </w:p>
        </w:tc>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A</w:t>
            </w:r>
          </w:p>
        </w:tc>
      </w:tr>
      <w:tr>
        <w:tblPrEx>
          <w:shd w:val="clear" w:color="auto" w:fill="d0ddef"/>
        </w:tblPrEx>
        <w:trPr>
          <w:trHeight w:val="253" w:hRule="atLeast"/>
        </w:trPr>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2018</w:t>
            </w:r>
          </w:p>
        </w:tc>
        <w:tc>
          <w:tcPr>
            <w:tcW w:type="dxa" w:w="7792"/>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shd w:val="nil" w:color="auto" w:fill="auto"/>
                <w:rtl w:val="0"/>
                <w:lang w:val="en-US"/>
              </w:rPr>
              <w:t xml:space="preserve">Quantitative Analysis </w:t>
            </w:r>
          </w:p>
        </w:tc>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B</w:t>
            </w:r>
          </w:p>
        </w:tc>
      </w:tr>
      <w:tr>
        <w:tblPrEx>
          <w:shd w:val="clear" w:color="auto" w:fill="d0ddef"/>
        </w:tblPrEx>
        <w:trPr>
          <w:trHeight w:val="253" w:hRule="atLeast"/>
        </w:trPr>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2018</w:t>
            </w:r>
          </w:p>
        </w:tc>
        <w:tc>
          <w:tcPr>
            <w:tcW w:type="dxa" w:w="7792"/>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shd w:val="nil" w:color="auto" w:fill="auto"/>
                <w:rtl w:val="0"/>
                <w:lang w:val="en-US"/>
              </w:rPr>
              <w:t>Quantitative Analysis Lab</w:t>
            </w:r>
          </w:p>
        </w:tc>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A</w:t>
            </w:r>
          </w:p>
        </w:tc>
      </w:tr>
      <w:tr>
        <w:tblPrEx>
          <w:shd w:val="clear" w:color="auto" w:fill="d0ddef"/>
        </w:tblPrEx>
        <w:trPr>
          <w:trHeight w:val="253" w:hRule="atLeast"/>
        </w:trPr>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2018</w:t>
            </w:r>
          </w:p>
        </w:tc>
        <w:tc>
          <w:tcPr>
            <w:tcW w:type="dxa" w:w="7792"/>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shd w:val="nil" w:color="auto" w:fill="auto"/>
                <w:rtl w:val="0"/>
                <w:lang w:val="en-US"/>
              </w:rPr>
              <w:t>Physics in Modern Medicine</w:t>
            </w:r>
          </w:p>
        </w:tc>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A</w:t>
            </w:r>
          </w:p>
        </w:tc>
      </w:tr>
      <w:tr>
        <w:tblPrEx>
          <w:shd w:val="clear" w:color="auto" w:fill="d0ddef"/>
        </w:tblPrEx>
        <w:trPr>
          <w:trHeight w:val="253" w:hRule="atLeast"/>
        </w:trPr>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2018</w:t>
            </w:r>
          </w:p>
        </w:tc>
        <w:tc>
          <w:tcPr>
            <w:tcW w:type="dxa" w:w="7792"/>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shd w:val="nil" w:color="auto" w:fill="auto"/>
                <w:rtl w:val="0"/>
                <w:lang w:val="en-US"/>
              </w:rPr>
              <w:t>Ethical Principles in Law and Economics</w:t>
            </w:r>
          </w:p>
        </w:tc>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B</w:t>
            </w:r>
          </w:p>
        </w:tc>
      </w:tr>
      <w:tr>
        <w:tblPrEx>
          <w:shd w:val="clear" w:color="auto" w:fill="d0ddef"/>
        </w:tblPrEx>
        <w:trPr>
          <w:trHeight w:val="253" w:hRule="atLeast"/>
        </w:trPr>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2018</w:t>
            </w:r>
          </w:p>
        </w:tc>
        <w:tc>
          <w:tcPr>
            <w:tcW w:type="dxa" w:w="7792"/>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shd w:val="nil" w:color="auto" w:fill="auto"/>
                <w:rtl w:val="0"/>
                <w:lang w:val="en-US"/>
              </w:rPr>
              <w:t>Bowling</w:t>
            </w:r>
          </w:p>
        </w:tc>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P</w:t>
            </w:r>
          </w:p>
        </w:tc>
      </w:tr>
      <w:tr>
        <w:tblPrEx>
          <w:shd w:val="clear" w:color="auto" w:fill="d0ddef"/>
        </w:tblPrEx>
        <w:trPr>
          <w:trHeight w:val="253" w:hRule="atLeast"/>
        </w:trPr>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2018</w:t>
            </w:r>
          </w:p>
        </w:tc>
        <w:tc>
          <w:tcPr>
            <w:tcW w:type="dxa" w:w="7792"/>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shd w:val="nil" w:color="auto" w:fill="auto"/>
                <w:rtl w:val="0"/>
                <w:lang w:val="en-US"/>
              </w:rPr>
              <w:t>Genomics and Systems Biology</w:t>
            </w:r>
          </w:p>
        </w:tc>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A</w:t>
            </w:r>
          </w:p>
        </w:tc>
      </w:tr>
      <w:tr>
        <w:tblPrEx>
          <w:shd w:val="clear" w:color="auto" w:fill="d0ddef"/>
        </w:tblPrEx>
        <w:trPr>
          <w:trHeight w:val="253" w:hRule="atLeast"/>
        </w:trPr>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2018</w:t>
            </w:r>
          </w:p>
        </w:tc>
        <w:tc>
          <w:tcPr>
            <w:tcW w:type="dxa" w:w="7792"/>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shd w:val="nil" w:color="auto" w:fill="auto"/>
                <w:rtl w:val="0"/>
                <w:lang w:val="en-US"/>
              </w:rPr>
              <w:t>Senior Project</w:t>
            </w:r>
          </w:p>
        </w:tc>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A</w:t>
            </w:r>
          </w:p>
        </w:tc>
      </w:tr>
      <w:tr>
        <w:tblPrEx>
          <w:shd w:val="clear" w:color="auto" w:fill="d0ddef"/>
        </w:tblPrEx>
        <w:trPr>
          <w:trHeight w:val="253" w:hRule="atLeast"/>
        </w:trPr>
        <w:tc>
          <w:tcPr>
            <w:tcW w:type="dxa" w:w="1500"/>
            <w:tcBorders>
              <w:top w:val="nil"/>
              <w:left w:val="nil"/>
              <w:bottom w:val="nil"/>
              <w:right w:val="nil"/>
            </w:tcBorders>
            <w:shd w:val="clear" w:color="auto" w:fill="auto"/>
            <w:tcMar>
              <w:top w:type="dxa" w:w="80"/>
              <w:left w:type="dxa" w:w="80"/>
              <w:bottom w:type="dxa" w:w="80"/>
              <w:right w:type="dxa" w:w="80"/>
            </w:tcMar>
            <w:vAlign w:val="center"/>
          </w:tcPr>
          <w:p/>
        </w:tc>
        <w:tc>
          <w:tcPr>
            <w:tcW w:type="dxa" w:w="7792"/>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rFonts w:ascii="Arial" w:hAnsi="Arial"/>
                <w:caps w:val="1"/>
                <w:sz w:val="22"/>
                <w:szCs w:val="22"/>
                <w:shd w:val="nil" w:color="auto" w:fill="auto"/>
                <w:rtl w:val="0"/>
                <w:lang w:val="en-US"/>
              </w:rPr>
              <w:t>University of Vermont</w:t>
            </w:r>
          </w:p>
        </w:tc>
        <w:tc>
          <w:tcPr>
            <w:tcW w:type="dxa" w:w="1500"/>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d0ddef"/>
        </w:tblPrEx>
        <w:trPr>
          <w:trHeight w:val="253" w:hRule="atLeast"/>
        </w:trPr>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2018</w:t>
            </w:r>
          </w:p>
        </w:tc>
        <w:tc>
          <w:tcPr>
            <w:tcW w:type="dxa" w:w="7792"/>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shd w:val="nil" w:color="auto" w:fill="auto"/>
                <w:rtl w:val="0"/>
                <w:lang w:val="en-US"/>
              </w:rPr>
              <w:t>Seminar in Genetics</w:t>
            </w:r>
          </w:p>
        </w:tc>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P</w:t>
            </w:r>
          </w:p>
        </w:tc>
      </w:tr>
      <w:tr>
        <w:tblPrEx>
          <w:shd w:val="clear" w:color="auto" w:fill="d0ddef"/>
        </w:tblPrEx>
        <w:trPr>
          <w:trHeight w:val="253" w:hRule="atLeast"/>
        </w:trPr>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2018</w:t>
            </w:r>
          </w:p>
        </w:tc>
        <w:tc>
          <w:tcPr>
            <w:tcW w:type="dxa" w:w="7792"/>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shd w:val="nil" w:color="auto" w:fill="auto"/>
                <w:rtl w:val="0"/>
                <w:lang w:val="en-US"/>
              </w:rPr>
              <w:t>Statistics for the Life Sciences</w:t>
            </w:r>
          </w:p>
        </w:tc>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P</w:t>
            </w:r>
          </w:p>
        </w:tc>
      </w:tr>
      <w:tr>
        <w:tblPrEx>
          <w:shd w:val="clear" w:color="auto" w:fill="d0ddef"/>
        </w:tblPrEx>
        <w:trPr>
          <w:trHeight w:val="253" w:hRule="atLeast"/>
        </w:trPr>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2018</w:t>
            </w:r>
          </w:p>
        </w:tc>
        <w:tc>
          <w:tcPr>
            <w:tcW w:type="dxa" w:w="7792"/>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shd w:val="nil" w:color="auto" w:fill="auto"/>
                <w:rtl w:val="0"/>
                <w:lang w:val="en-US"/>
              </w:rPr>
              <w:t>Ethics in Biological Research</w:t>
            </w:r>
          </w:p>
        </w:tc>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CRE</w:t>
            </w:r>
          </w:p>
        </w:tc>
      </w:tr>
      <w:tr>
        <w:tblPrEx>
          <w:shd w:val="clear" w:color="auto" w:fill="d0ddef"/>
        </w:tblPrEx>
        <w:trPr>
          <w:trHeight w:val="253" w:hRule="atLeast"/>
        </w:trPr>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2019</w:t>
            </w:r>
          </w:p>
        </w:tc>
        <w:tc>
          <w:tcPr>
            <w:tcW w:type="dxa" w:w="7792"/>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shd w:val="nil" w:color="auto" w:fill="auto"/>
                <w:rtl w:val="0"/>
                <w:lang w:val="en-US"/>
              </w:rPr>
              <w:t>Seminar in Physiology and Behavior</w:t>
            </w:r>
          </w:p>
        </w:tc>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P</w:t>
            </w:r>
          </w:p>
        </w:tc>
      </w:tr>
      <w:tr>
        <w:tblPrEx>
          <w:shd w:val="clear" w:color="auto" w:fill="d0ddef"/>
        </w:tblPrEx>
        <w:trPr>
          <w:trHeight w:val="253" w:hRule="atLeast"/>
        </w:trPr>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2019</w:t>
            </w:r>
          </w:p>
        </w:tc>
        <w:tc>
          <w:tcPr>
            <w:tcW w:type="dxa" w:w="7792"/>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shd w:val="nil" w:color="auto" w:fill="auto"/>
                <w:rtl w:val="0"/>
                <w:lang w:val="en-US"/>
              </w:rPr>
              <w:t>Cancer Immunology</w:t>
            </w:r>
          </w:p>
        </w:tc>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P</w:t>
            </w:r>
          </w:p>
        </w:tc>
      </w:tr>
      <w:tr>
        <w:tblPrEx>
          <w:shd w:val="clear" w:color="auto" w:fill="d0ddef"/>
        </w:tblPrEx>
        <w:trPr>
          <w:trHeight w:val="253" w:hRule="atLeast"/>
        </w:trPr>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2020</w:t>
            </w:r>
          </w:p>
        </w:tc>
        <w:tc>
          <w:tcPr>
            <w:tcW w:type="dxa" w:w="7792"/>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shd w:val="nil" w:color="auto" w:fill="auto"/>
                <w:rtl w:val="0"/>
                <w:lang w:val="en-US"/>
              </w:rPr>
              <w:t xml:space="preserve">Mechanisms of Cell Motility </w:t>
            </w:r>
          </w:p>
        </w:tc>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P</w:t>
            </w:r>
          </w:p>
        </w:tc>
      </w:tr>
      <w:tr>
        <w:tblPrEx>
          <w:shd w:val="clear" w:color="auto" w:fill="d0ddef"/>
        </w:tblPrEx>
        <w:trPr>
          <w:trHeight w:val="253" w:hRule="atLeast"/>
        </w:trPr>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2020</w:t>
            </w:r>
          </w:p>
        </w:tc>
        <w:tc>
          <w:tcPr>
            <w:tcW w:type="dxa" w:w="7792"/>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shd w:val="nil" w:color="auto" w:fill="auto"/>
                <w:rtl w:val="0"/>
                <w:lang w:val="en-US"/>
              </w:rPr>
              <w:t>Biochemical Mechanisms of Cancer Cells</w:t>
            </w:r>
          </w:p>
        </w:tc>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P</w:t>
            </w:r>
          </w:p>
        </w:tc>
      </w:tr>
      <w:tr>
        <w:tblPrEx>
          <w:shd w:val="clear" w:color="auto" w:fill="d0ddef"/>
        </w:tblPrEx>
        <w:trPr>
          <w:trHeight w:val="253" w:hRule="atLeast"/>
        </w:trPr>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2020</w:t>
            </w:r>
          </w:p>
        </w:tc>
        <w:tc>
          <w:tcPr>
            <w:tcW w:type="dxa" w:w="7792"/>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shd w:val="nil" w:color="auto" w:fill="auto"/>
                <w:rtl w:val="0"/>
                <w:lang w:val="en-US"/>
              </w:rPr>
              <w:t>Toxicology</w:t>
            </w:r>
          </w:p>
        </w:tc>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P</w:t>
            </w:r>
          </w:p>
        </w:tc>
      </w:tr>
      <w:tr>
        <w:tblPrEx>
          <w:shd w:val="clear" w:color="auto" w:fill="d0ddef"/>
        </w:tblPrEx>
        <w:trPr>
          <w:trHeight w:val="253" w:hRule="atLeast"/>
        </w:trPr>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2020</w:t>
            </w:r>
          </w:p>
        </w:tc>
        <w:tc>
          <w:tcPr>
            <w:tcW w:type="dxa" w:w="7792"/>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sz w:val="22"/>
                <w:szCs w:val="22"/>
                <w:shd w:val="nil" w:color="auto" w:fill="auto"/>
                <w:rtl w:val="0"/>
                <w:lang w:val="en-US"/>
              </w:rPr>
              <w:t>Physiology for the Molecular Biologist</w:t>
            </w:r>
          </w:p>
        </w:tc>
        <w:tc>
          <w:tcPr>
            <w:tcW w:type="dxa" w:w="1500"/>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360"/>
                <w:tab w:val="left" w:pos="720"/>
                <w:tab w:val="left" w:pos="1080"/>
                <w:tab w:val="left" w:pos="1440"/>
              </w:tabs>
              <w:jc w:val="center"/>
            </w:pPr>
            <w:r>
              <w:rPr>
                <w:rFonts w:ascii="Arial" w:hAnsi="Arial"/>
                <w:sz w:val="22"/>
                <w:szCs w:val="22"/>
                <w:shd w:val="nil" w:color="auto" w:fill="auto"/>
                <w:rtl w:val="0"/>
                <w:lang w:val="en-US"/>
              </w:rPr>
              <w:t>P</w:t>
            </w:r>
          </w:p>
        </w:tc>
      </w:tr>
    </w:tbl>
    <w:p>
      <w:pPr>
        <w:keepNext w:val="0"/>
        <w:keepLines w:val="0"/>
        <w:pageBreakBefore w:val="0"/>
        <w:widowControl w:val="1"/>
        <w:shd w:val="clear" w:color="auto" w:fill="auto"/>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val="0"/>
        <w:bidi w:val="0"/>
        <w:spacing w:before="0" w:after="0" w:line="240" w:lineRule="auto"/>
        <w:ind w:left="0" w:right="0" w:firstLine="0"/>
        <w:jc w:val="left"/>
        <w:outlineLvl w:val="9"/>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val="0"/>
        <w:bidi w:val="0"/>
        <w:spacing w:before="0" w:after="0" w:line="240" w:lineRule="auto"/>
        <w:ind w:left="0" w:right="0" w:firstLine="0"/>
        <w:jc w:val="left"/>
        <w:outlineLvl w:val="9"/>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val="0"/>
        <w:bidi w:val="0"/>
        <w:spacing w:before="100" w:after="10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Except for the scientific ethics course, </w:t>
      </w: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Vermont</w:t>
      </w: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graduate courses are graded P (pass) or F (fail). Passing is C plus or better. The scientific ethics course is graded CRE (credit) or NC (no credit). Students must attend at least seven of the eight presentation/discussion sessions for credit.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440"/>
          <w:tab w:val="left" w:pos="180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440"/>
          <w:tab w:val="left" w:pos="1800"/>
          <w:tab w:val="left" w:pos="2160"/>
          <w:tab w:val="left" w:pos="2520"/>
          <w:tab w:val="left" w:pos="2880"/>
          <w:tab w:val="left" w:pos="324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440"/>
          <w:tab w:val="left" w:pos="1800"/>
          <w:tab w:val="left" w:pos="2160"/>
          <w:tab w:val="left" w:pos="2520"/>
          <w:tab w:val="left" w:pos="2880"/>
          <w:tab w:val="left" w:pos="3240"/>
          <w:tab w:val="left" w:pos="3600"/>
          <w:tab w:val="left" w:pos="3960"/>
          <w:tab w:val="left" w:pos="4320"/>
          <w:tab w:val="left" w:pos="468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120"/>
          <w:tab w:val="left" w:pos="6480"/>
          <w:tab w:val="left" w:pos="6840"/>
          <w:tab w:val="left" w:pos="7200"/>
          <w:tab w:val="left" w:pos="7560"/>
          <w:tab w:val="left" w:pos="7920"/>
          <w:tab w:val="left" w:pos="8280"/>
          <w:tab w:val="left" w:pos="8640"/>
          <w:tab w:val="left" w:pos="9000"/>
          <w:tab w:val="left" w:pos="9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200"/>
          <w:tab w:val="left" w:pos="7560"/>
          <w:tab w:val="left" w:pos="7920"/>
          <w:tab w:val="left" w:pos="8280"/>
          <w:tab w:val="left" w:pos="8640"/>
          <w:tab w:val="left" w:pos="9000"/>
          <w:tab w:val="left" w:pos="936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440"/>
          <w:tab w:val="left" w:pos="180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440"/>
          <w:tab w:val="left" w:pos="1800"/>
          <w:tab w:val="left" w:pos="2160"/>
          <w:tab w:val="left" w:pos="2520"/>
          <w:tab w:val="left" w:pos="2880"/>
          <w:tab w:val="left" w:pos="324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440"/>
          <w:tab w:val="left" w:pos="1800"/>
          <w:tab w:val="left" w:pos="2160"/>
          <w:tab w:val="left" w:pos="2520"/>
          <w:tab w:val="left" w:pos="2880"/>
          <w:tab w:val="left" w:pos="3240"/>
          <w:tab w:val="left" w:pos="3600"/>
          <w:tab w:val="left" w:pos="3960"/>
          <w:tab w:val="left" w:pos="4320"/>
          <w:tab w:val="left" w:pos="468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120"/>
          <w:tab w:val="left" w:pos="6480"/>
          <w:tab w:val="left" w:pos="6840"/>
          <w:tab w:val="left" w:pos="7200"/>
          <w:tab w:val="left" w:pos="7560"/>
          <w:tab w:val="left" w:pos="7920"/>
          <w:tab w:val="left" w:pos="8280"/>
          <w:tab w:val="left" w:pos="8640"/>
          <w:tab w:val="left" w:pos="9000"/>
          <w:tab w:val="left" w:pos="9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200"/>
          <w:tab w:val="left" w:pos="7560"/>
          <w:tab w:val="left" w:pos="7920"/>
          <w:tab w:val="left" w:pos="8280"/>
          <w:tab w:val="left" w:pos="8640"/>
          <w:tab w:val="left" w:pos="9000"/>
          <w:tab w:val="left" w:pos="936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outline w:val="0"/>
      <w:color w:val="0071bc"/>
      <w:u w:color="0071bc"/>
      <w14:textFill>
        <w14:solidFill>
          <w14:srgbClr w14:val="0071B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